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A7E660">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6A9C31C2">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19C13B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37B06831">
            <w:pPr>
              <w:spacing w:beforeLines="0" w:afterLines="0"/>
              <w:jc w:val="center"/>
              <w:rPr>
                <w:rFonts w:hint="default"/>
                <w:sz w:val="24"/>
                <w:szCs w:val="24"/>
              </w:rPr>
            </w:pPr>
            <w:r>
              <w:rPr>
                <w:rFonts w:hint="default"/>
                <w:sz w:val="24"/>
                <w:szCs w:val="24"/>
              </w:rPr>
              <w:t>08.05.2026</w:t>
            </w:r>
          </w:p>
        </w:tc>
      </w:tr>
      <w:tr w14:paraId="70B3626B">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578EF578">
            <w:pPr>
              <w:spacing w:beforeLines="0" w:afterLines="0"/>
              <w:jc w:val="center"/>
              <w:rPr>
                <w:rFonts w:hint="default"/>
                <w:sz w:val="20"/>
                <w:szCs w:val="24"/>
              </w:rPr>
            </w:pPr>
            <w:r>
              <w:rPr>
                <w:rFonts w:hint="default"/>
                <w:sz w:val="20"/>
                <w:szCs w:val="24"/>
              </w:rPr>
              <w:t>(дата реєстрації емітентом електронного документа)</w:t>
            </w:r>
          </w:p>
        </w:tc>
      </w:tr>
      <w:tr w14:paraId="07CCB6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6A5B4DEE">
            <w:pPr>
              <w:spacing w:beforeLines="0" w:afterLines="0"/>
              <w:jc w:val="center"/>
              <w:rPr>
                <w:rFonts w:hint="default"/>
                <w:sz w:val="24"/>
                <w:szCs w:val="24"/>
              </w:rPr>
            </w:pPr>
            <w:r>
              <w:rPr>
                <w:rFonts w:hint="default"/>
                <w:sz w:val="24"/>
                <w:szCs w:val="24"/>
              </w:rPr>
              <w:t>24/5</w:t>
            </w:r>
          </w:p>
        </w:tc>
      </w:tr>
      <w:tr w14:paraId="3CB6F1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C58C3AC">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61315931">
      <w:pPr>
        <w:spacing w:beforeLines="0" w:afterLines="0"/>
        <w:jc w:val="left"/>
        <w:rPr>
          <w:rFonts w:hint="default"/>
          <w:sz w:val="20"/>
          <w:szCs w:val="24"/>
        </w:rPr>
      </w:pPr>
      <w:r>
        <w:rPr>
          <w:rFonts w:hint="default"/>
          <w:sz w:val="20"/>
          <w:szCs w:val="24"/>
        </w:rPr>
        <w:t xml:space="preserve">      </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30EB59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01D27DAE">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C21D9DD">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118980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128A103C">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0C948E14">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05A882A7">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5FBC036E">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75ED8856">
            <w:pPr>
              <w:spacing w:beforeLines="0" w:afterLines="0"/>
              <w:jc w:val="center"/>
              <w:rPr>
                <w:rFonts w:hint="default"/>
                <w:sz w:val="24"/>
                <w:szCs w:val="24"/>
              </w:rPr>
            </w:pPr>
            <w:r>
              <w:rPr>
                <w:rFonts w:hint="default"/>
                <w:sz w:val="24"/>
                <w:szCs w:val="24"/>
              </w:rPr>
              <w:t>Наумчук Вiктор Михайлович</w:t>
            </w:r>
          </w:p>
        </w:tc>
      </w:tr>
      <w:tr w14:paraId="785BB6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7598232E">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13D4D484">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223F0F25">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337EC535">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1A0FD5C6">
            <w:pPr>
              <w:spacing w:beforeLines="0" w:afterLines="0"/>
              <w:jc w:val="center"/>
              <w:rPr>
                <w:rFonts w:hint="default"/>
                <w:sz w:val="20"/>
                <w:szCs w:val="24"/>
              </w:rPr>
            </w:pPr>
            <w:r>
              <w:rPr>
                <w:rFonts w:hint="default"/>
                <w:sz w:val="20"/>
                <w:szCs w:val="24"/>
              </w:rPr>
              <w:t>(прізвище та ініціали керівника або уповноваженої особи емітента)</w:t>
            </w:r>
          </w:p>
        </w:tc>
      </w:tr>
    </w:tbl>
    <w:p w14:paraId="4447559F">
      <w:pPr>
        <w:spacing w:beforeLines="0" w:afterLines="0"/>
        <w:jc w:val="left"/>
        <w:rPr>
          <w:rFonts w:hint="default"/>
          <w:sz w:val="20"/>
          <w:szCs w:val="24"/>
        </w:rPr>
      </w:pPr>
    </w:p>
    <w:p w14:paraId="2278DEE8">
      <w:pPr>
        <w:spacing w:beforeLines="0" w:afterLines="0"/>
        <w:jc w:val="center"/>
        <w:rPr>
          <w:rFonts w:hint="default"/>
          <w:b/>
          <w:sz w:val="28"/>
          <w:szCs w:val="24"/>
        </w:rPr>
      </w:pPr>
      <w:r>
        <w:rPr>
          <w:rFonts w:hint="default"/>
          <w:b/>
          <w:sz w:val="28"/>
          <w:szCs w:val="24"/>
        </w:rPr>
        <w:t>Особлива інформація / інформація про іпотечні цінні папери/ сертифікати фонду операцій з нерухомістю емітента</w:t>
      </w:r>
    </w:p>
    <w:p w14:paraId="0774C811">
      <w:pPr>
        <w:spacing w:beforeLines="0" w:afterLines="0"/>
        <w:jc w:val="left"/>
        <w:rPr>
          <w:rFonts w:hint="default"/>
          <w:b/>
          <w:sz w:val="28"/>
          <w:szCs w:val="24"/>
        </w:rPr>
      </w:pPr>
    </w:p>
    <w:p w14:paraId="3218F56E">
      <w:pPr>
        <w:spacing w:beforeLines="0" w:afterLines="0"/>
        <w:jc w:val="center"/>
        <w:rPr>
          <w:rFonts w:hint="default"/>
          <w:sz w:val="24"/>
          <w:szCs w:val="24"/>
        </w:rPr>
      </w:pPr>
      <w:r>
        <w:rPr>
          <w:rFonts w:hint="default"/>
          <w:b/>
          <w:sz w:val="24"/>
          <w:szCs w:val="24"/>
        </w:rPr>
        <w:t>І. Загальні відомості</w:t>
      </w:r>
    </w:p>
    <w:p w14:paraId="18A564AB">
      <w:pPr>
        <w:spacing w:beforeLines="0" w:afterLines="0"/>
        <w:rPr>
          <w:rFonts w:hint="default"/>
          <w:sz w:val="24"/>
          <w:szCs w:val="24"/>
        </w:rPr>
      </w:pPr>
      <w:r>
        <w:rPr>
          <w:rFonts w:hint="default"/>
          <w:sz w:val="24"/>
          <w:szCs w:val="24"/>
        </w:rPr>
        <w:t>1. Повне найменування: ПРИВАТНЕ АКЦIОНЕРНЕ ТОВАРИСТВО "СПМК-523"</w:t>
      </w:r>
    </w:p>
    <w:p w14:paraId="06477CC6">
      <w:pPr>
        <w:spacing w:beforeLines="0" w:afterLines="0"/>
        <w:jc w:val="left"/>
        <w:rPr>
          <w:rFonts w:hint="default"/>
          <w:sz w:val="24"/>
          <w:szCs w:val="24"/>
        </w:rPr>
      </w:pPr>
      <w:r>
        <w:rPr>
          <w:rFonts w:hint="default"/>
          <w:sz w:val="24"/>
          <w:szCs w:val="24"/>
        </w:rPr>
        <w:t>2. Організаційно-правова форма: Акціонерне товариство</w:t>
      </w:r>
    </w:p>
    <w:p w14:paraId="2EF5C932">
      <w:pPr>
        <w:spacing w:beforeLines="0" w:afterLines="0"/>
        <w:jc w:val="left"/>
        <w:rPr>
          <w:rFonts w:hint="default"/>
          <w:sz w:val="24"/>
          <w:szCs w:val="24"/>
        </w:rPr>
      </w:pPr>
      <w:r>
        <w:rPr>
          <w:rFonts w:hint="default"/>
          <w:sz w:val="24"/>
          <w:szCs w:val="24"/>
        </w:rPr>
        <w:t>3. Місцезнаходження: 04136, м.Київ, Київ, ВУЛ. МАРШАЛА ГРЕЧКА, 9Г</w:t>
      </w:r>
    </w:p>
    <w:p w14:paraId="479B8230">
      <w:pPr>
        <w:spacing w:beforeLines="0" w:afterLines="0"/>
        <w:jc w:val="left"/>
        <w:rPr>
          <w:rFonts w:hint="default"/>
          <w:sz w:val="24"/>
          <w:szCs w:val="24"/>
        </w:rPr>
      </w:pPr>
      <w:r>
        <w:rPr>
          <w:rFonts w:hint="default"/>
          <w:sz w:val="24"/>
          <w:szCs w:val="24"/>
        </w:rPr>
        <w:t>4. Ідентифікаційний код юридичної особи: 01354473</w:t>
      </w:r>
    </w:p>
    <w:p w14:paraId="25C7DB9D">
      <w:pPr>
        <w:spacing w:beforeLines="0" w:afterLines="0"/>
        <w:jc w:val="left"/>
        <w:rPr>
          <w:rFonts w:hint="default"/>
          <w:sz w:val="24"/>
          <w:szCs w:val="24"/>
        </w:rPr>
      </w:pPr>
      <w:r>
        <w:rPr>
          <w:rFonts w:hint="default"/>
          <w:sz w:val="24"/>
          <w:szCs w:val="24"/>
        </w:rPr>
        <w:t>5. Міжміський код та номер телефону: 0444436997</w:t>
      </w:r>
    </w:p>
    <w:p w14:paraId="34E8C4DF">
      <w:pPr>
        <w:spacing w:beforeLines="0" w:afterLines="0"/>
        <w:jc w:val="left"/>
        <w:rPr>
          <w:rFonts w:hint="default"/>
          <w:sz w:val="24"/>
          <w:szCs w:val="24"/>
        </w:rPr>
      </w:pPr>
      <w:r>
        <w:rPr>
          <w:rFonts w:hint="default"/>
          <w:sz w:val="24"/>
          <w:szCs w:val="24"/>
        </w:rPr>
        <w:t>6. Адреса електронної пошти, яка є офіційним каналом зв’язку: spmk523@emitents.net.ua</w:t>
      </w:r>
    </w:p>
    <w:p w14:paraId="4AC58B14">
      <w:pPr>
        <w:spacing w:beforeLines="0" w:afterLines="0"/>
        <w:jc w:val="left"/>
        <w:rPr>
          <w:rFonts w:hint="default"/>
          <w:sz w:val="24"/>
          <w:szCs w:val="24"/>
        </w:rPr>
      </w:pPr>
      <w:r>
        <w:rPr>
          <w:rFonts w:hint="default"/>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753B0EB4">
      <w:pPr>
        <w:spacing w:beforeLines="0" w:afterLines="0"/>
        <w:jc w:val="left"/>
        <w:rPr>
          <w:rFonts w:hint="default"/>
          <w:sz w:val="24"/>
          <w:szCs w:val="24"/>
        </w:rPr>
      </w:pPr>
      <w:r>
        <w:rPr>
          <w:rFonts w:hint="default"/>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5790E4E0">
      <w:pPr>
        <w:spacing w:beforeLines="0" w:afterLines="0"/>
        <w:jc w:val="left"/>
        <w:rPr>
          <w:rFonts w:hint="default"/>
          <w:sz w:val="24"/>
          <w:szCs w:val="24"/>
        </w:rPr>
      </w:pPr>
    </w:p>
    <w:p w14:paraId="29619AC5">
      <w:pPr>
        <w:spacing w:beforeLines="0" w:afterLines="0"/>
        <w:jc w:val="center"/>
        <w:rPr>
          <w:rFonts w:hint="default" w:ascii="Times New Roman" w:hAnsi="Times New Roman" w:eastAsia="Times New Roman"/>
          <w:b/>
          <w:sz w:val="24"/>
          <w:szCs w:val="24"/>
        </w:rPr>
      </w:pPr>
      <w:r>
        <w:rPr>
          <w:rFonts w:hint="default" w:ascii="Times New Roman" w:hAnsi="Times New Roman" w:eastAsia="Times New Roman"/>
          <w:b/>
          <w:sz w:val="24"/>
          <w:szCs w:val="24"/>
        </w:rPr>
        <w:t xml:space="preserve">ІІ. Дані про дату та місце оприлюднення інформації </w:t>
      </w:r>
    </w:p>
    <w:p w14:paraId="523B6C65">
      <w:pPr>
        <w:spacing w:beforeLines="0" w:afterLines="0"/>
        <w:jc w:val="center"/>
        <w:rPr>
          <w:rFonts w:hint="default" w:ascii="Times New Roman" w:hAnsi="Times New Roman" w:eastAsia="Times New Roman"/>
          <w:b/>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058222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34444A2D">
            <w:pPr>
              <w:spacing w:beforeLines="0" w:afterLines="0"/>
              <w:jc w:val="left"/>
              <w:rPr>
                <w:rFonts w:hint="default" w:ascii="Times New Roman" w:hAnsi="Times New Roman" w:eastAsia="Times New Roman"/>
                <w:sz w:val="24"/>
                <w:szCs w:val="24"/>
              </w:rPr>
            </w:pPr>
            <w:r>
              <w:rPr>
                <w:rFonts w:hint="default" w:ascii="Times New Roman" w:hAnsi="Times New Roman" w:eastAsia="Times New Roman"/>
                <w:sz w:val="24"/>
                <w:szCs w:val="24"/>
              </w:rPr>
              <w:t>Інформація розміщена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2CEA27E4">
            <w:pPr>
              <w:spacing w:beforeLines="0" w:afterLines="0"/>
              <w:jc w:val="center"/>
              <w:rPr>
                <w:rFonts w:hint="default" w:ascii="Times New Roman" w:hAnsi="Times New Roman" w:eastAsia="Times New Roman"/>
                <w:sz w:val="24"/>
                <w:szCs w:val="24"/>
              </w:rPr>
            </w:pPr>
            <w:r>
              <w:rPr>
                <w:rFonts w:hint="default" w:ascii="Times New Roman" w:hAnsi="Times New Roman" w:eastAsia="Times New Roman"/>
                <w:sz w:val="24"/>
                <w:szCs w:val="24"/>
              </w:rPr>
              <w:t>http://spmk523.emitents.net.ua/ua/docs/?fg_id=101</w:t>
            </w:r>
          </w:p>
        </w:tc>
        <w:tc>
          <w:tcPr>
            <w:tcW w:w="1885" w:type="dxa"/>
            <w:tcBorders>
              <w:top w:val="nil"/>
              <w:left w:val="nil"/>
              <w:bottom w:val="single" w:color="auto" w:sz="6" w:space="0"/>
              <w:right w:val="nil"/>
              <w:tl2br w:val="nil"/>
              <w:tr2bl w:val="nil"/>
            </w:tcBorders>
            <w:noWrap w:val="0"/>
            <w:vAlign w:val="bottom"/>
          </w:tcPr>
          <w:p w14:paraId="7AA1F682">
            <w:pPr>
              <w:spacing w:beforeLines="0" w:afterLines="0"/>
              <w:jc w:val="center"/>
              <w:rPr>
                <w:rFonts w:hint="default" w:ascii="Times New Roman" w:hAnsi="Times New Roman" w:eastAsia="Times New Roman"/>
                <w:sz w:val="24"/>
                <w:szCs w:val="24"/>
              </w:rPr>
            </w:pPr>
            <w:r>
              <w:rPr>
                <w:rFonts w:hint="default" w:ascii="Times New Roman" w:hAnsi="Times New Roman" w:eastAsia="Times New Roman"/>
                <w:sz w:val="24"/>
                <w:szCs w:val="24"/>
              </w:rPr>
              <w:t>08.05.2026</w:t>
            </w:r>
          </w:p>
        </w:tc>
      </w:tr>
      <w:tr w14:paraId="668282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7829F24D">
            <w:pPr>
              <w:spacing w:beforeLines="0" w:afterLines="0"/>
              <w:jc w:val="left"/>
              <w:rPr>
                <w:rFonts w:hint="default" w:ascii="Times New Roman" w:hAnsi="Times New Roman" w:eastAsia="Times New Roman"/>
                <w:sz w:val="20"/>
                <w:szCs w:val="24"/>
              </w:rPr>
            </w:pPr>
          </w:p>
        </w:tc>
        <w:tc>
          <w:tcPr>
            <w:tcW w:w="5165" w:type="dxa"/>
            <w:tcBorders>
              <w:top w:val="nil"/>
              <w:left w:val="nil"/>
              <w:bottom w:val="nil"/>
              <w:right w:val="nil"/>
              <w:tl2br w:val="nil"/>
              <w:tr2bl w:val="nil"/>
            </w:tcBorders>
            <w:noWrap w:val="0"/>
            <w:vAlign w:val="bottom"/>
          </w:tcPr>
          <w:p w14:paraId="1A7ACB3F">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(URL-адреса вебсайту)</w:t>
            </w:r>
          </w:p>
        </w:tc>
        <w:tc>
          <w:tcPr>
            <w:tcW w:w="1885" w:type="dxa"/>
            <w:tcBorders>
              <w:top w:val="nil"/>
              <w:left w:val="nil"/>
              <w:bottom w:val="nil"/>
              <w:right w:val="nil"/>
              <w:tl2br w:val="nil"/>
              <w:tr2bl w:val="nil"/>
            </w:tcBorders>
            <w:noWrap w:val="0"/>
            <w:vAlign w:val="bottom"/>
          </w:tcPr>
          <w:p w14:paraId="2AD444DB">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(дата)</w:t>
            </w:r>
          </w:p>
        </w:tc>
      </w:tr>
    </w:tbl>
    <w:p w14:paraId="7F6B1464">
      <w:pPr>
        <w:spacing w:beforeLines="0" w:afterLines="0"/>
        <w:jc w:val="left"/>
        <w:rPr>
          <w:rFonts w:hint="default" w:ascii="Times New Roman" w:hAnsi="Times New Roman" w:eastAsia="Times New Roman"/>
          <w:sz w:val="20"/>
          <w:szCs w:val="24"/>
        </w:rPr>
        <w:sectPr>
          <w:footerReference r:id="rId3" w:type="default"/>
          <w:pgSz w:w="11905" w:h="16837"/>
          <w:pgMar w:top="570" w:right="720" w:bottom="570" w:left="720" w:header="720" w:footer="360" w:gutter="0"/>
          <w:lnNumType w:countBy="0" w:distance="360"/>
          <w:pgNumType w:start="1"/>
          <w:cols w:space="720" w:num="1"/>
        </w:sectPr>
      </w:pPr>
    </w:p>
    <w:p w14:paraId="65C7FA23">
      <w:pPr>
        <w:spacing w:beforeLines="0" w:afterLines="0"/>
        <w:jc w:val="center"/>
        <w:rPr>
          <w:rFonts w:hint="default" w:ascii="Times New Roman" w:hAnsi="Times New Roman" w:eastAsia="Times New Roman"/>
          <w:b/>
          <w:sz w:val="28"/>
          <w:szCs w:val="24"/>
        </w:rPr>
      </w:pPr>
      <w:r>
        <w:rPr>
          <w:rFonts w:hint="default" w:ascii="Times New Roman" w:hAnsi="Times New Roman" w:eastAsia="Times New Roman"/>
          <w:b/>
          <w:sz w:val="28"/>
          <w:szCs w:val="24"/>
        </w:rPr>
        <w:t>ВІДОМОСТІ</w:t>
      </w:r>
    </w:p>
    <w:p w14:paraId="468F75A0">
      <w:pPr>
        <w:spacing w:beforeLines="0" w:afterLines="0"/>
        <w:jc w:val="center"/>
        <w:rPr>
          <w:rFonts w:hint="default" w:ascii="Times New Roman" w:hAnsi="Times New Roman" w:eastAsia="Times New Roman"/>
          <w:sz w:val="28"/>
          <w:szCs w:val="24"/>
        </w:rPr>
      </w:pPr>
      <w:r>
        <w:rPr>
          <w:rFonts w:hint="default" w:ascii="Times New Roman" w:hAnsi="Times New Roman" w:eastAsia="Times New Roman"/>
          <w:b/>
          <w:sz w:val="28"/>
          <w:szCs w:val="24"/>
        </w:rPr>
        <w:t>про зміну складу посадових осіб емітента</w:t>
      </w:r>
    </w:p>
    <w:p w14:paraId="188BAE5C">
      <w:pPr>
        <w:spacing w:beforeLines="0" w:afterLines="0"/>
        <w:jc w:val="center"/>
        <w:rPr>
          <w:rFonts w:hint="default" w:ascii="Times New Roman" w:hAnsi="Times New Roman" w:eastAsia="Times New Roman"/>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00"/>
        <w:gridCol w:w="1800"/>
        <w:gridCol w:w="2600"/>
        <w:gridCol w:w="3000"/>
        <w:gridCol w:w="1865"/>
      </w:tblGrid>
      <w:tr w14:paraId="0D7188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18745">
            <w:pPr>
              <w:spacing w:beforeLines="0" w:afterLines="0"/>
              <w:jc w:val="center"/>
              <w:rPr>
                <w:rFonts w:hint="default" w:ascii="Times New Roman" w:hAnsi="Times New Roman" w:eastAsia="Times New Roman"/>
                <w:b/>
                <w:sz w:val="20"/>
                <w:szCs w:val="24"/>
              </w:rPr>
            </w:pPr>
            <w:r>
              <w:rPr>
                <w:rFonts w:hint="default" w:ascii="Times New Roman" w:hAnsi="Times New Roman" w:eastAsia="Times New Roman"/>
                <w:b/>
                <w:sz w:val="20"/>
                <w:szCs w:val="24"/>
              </w:rPr>
              <w:t>Дата вчинення дії</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064A6">
            <w:pPr>
              <w:spacing w:beforeLines="0" w:afterLines="0"/>
              <w:jc w:val="center"/>
              <w:rPr>
                <w:rFonts w:hint="default" w:ascii="Times New Roman" w:hAnsi="Times New Roman" w:eastAsia="Times New Roman"/>
                <w:b/>
                <w:sz w:val="20"/>
                <w:szCs w:val="24"/>
              </w:rPr>
            </w:pPr>
            <w:r>
              <w:rPr>
                <w:rFonts w:hint="default" w:ascii="Times New Roman" w:hAnsi="Times New Roman" w:eastAsia="Times New Roman"/>
                <w:b/>
                <w:sz w:val="20"/>
                <w:szCs w:val="24"/>
              </w:rPr>
              <w:t>Зміни (призначено, звільнено, обрано або припинено повноваження)</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62BE5">
            <w:pPr>
              <w:spacing w:beforeLines="0" w:afterLines="0"/>
              <w:jc w:val="center"/>
              <w:rPr>
                <w:rFonts w:hint="default" w:ascii="Times New Roman" w:hAnsi="Times New Roman" w:eastAsia="Times New Roman"/>
                <w:b/>
                <w:sz w:val="20"/>
                <w:szCs w:val="24"/>
              </w:rPr>
            </w:pPr>
            <w:r>
              <w:rPr>
                <w:rFonts w:hint="default" w:ascii="Times New Roman" w:hAnsi="Times New Roman" w:eastAsia="Times New Roman"/>
                <w:b/>
                <w:sz w:val="20"/>
                <w:szCs w:val="24"/>
              </w:rPr>
              <w:t>Посада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7C23A">
            <w:pPr>
              <w:spacing w:beforeLines="0" w:afterLines="0"/>
              <w:jc w:val="center"/>
              <w:rPr>
                <w:rFonts w:hint="default" w:ascii="Times New Roman" w:hAnsi="Times New Roman" w:eastAsia="Times New Roman"/>
                <w:b/>
                <w:sz w:val="20"/>
                <w:szCs w:val="24"/>
              </w:rPr>
            </w:pPr>
            <w:r>
              <w:rPr>
                <w:rFonts w:hint="default" w:ascii="Times New Roman" w:hAnsi="Times New Roman" w:eastAsia="Times New Roman"/>
                <w:b/>
                <w:sz w:val="20"/>
                <w:szCs w:val="24"/>
              </w:rPr>
              <w:t>Ім’я особи</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7FF52">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b/>
                <w:sz w:val="20"/>
                <w:szCs w:val="24"/>
              </w:rPr>
              <w:t>Розмір частки в статутному капіталі емітента (у відсотках)</w:t>
            </w:r>
          </w:p>
        </w:tc>
      </w:tr>
      <w:tr w14:paraId="036879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24FDA">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1</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1FFA8">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EAE67">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3AC96">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4</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590BD">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5</w:t>
            </w:r>
          </w:p>
        </w:tc>
      </w:tr>
      <w:tr w14:paraId="1435A1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ED94FE">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4D1739">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Припинено повноваження</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7CE68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Директор</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436BEE">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Наумчук Вiктор Михайлович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3533F2C6">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86,790484</w:t>
            </w:r>
          </w:p>
        </w:tc>
      </w:tr>
      <w:tr w14:paraId="672D99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C4AE407">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3609BB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79CC8E9">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Річними дистанційними загальними зборами акціонерів ПрАТ "СПМК-523" (дата проведення - 30.04.2026р., дата складання Протоколу - 07.05.2026р.) прийнято рішення про припинення повноважень Директора Товариства Наумчука Вiктора Михайловича. Непогашеної судимості за корисливі та посадові злочини не має. Термін перебування на посаді Директора з 11.05.2015 р. Частка в статутному капіталі емітента – 86,790484%. Строк, протягом якого посадова особа перебувала на посаді – 11 років.</w:t>
            </w:r>
          </w:p>
        </w:tc>
      </w:tr>
      <w:tr w14:paraId="4AAE95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CFA288">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6088CB">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Припинено повноваження</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DF8A0C">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Голова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BF39F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Наумчук Роман Вiкторович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34C66E62">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2,022774</w:t>
            </w:r>
          </w:p>
        </w:tc>
      </w:tr>
      <w:tr w14:paraId="023A65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789C3CB">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23E0B0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1C2E80F">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Річними дистанційними загальними зборами акціонерів ПрАТ "СПМК-523" (дата проведення - 30.04.2026р., дата складання Протоколу - 07.05.2026р.) прийнято рішення про припинення повноважень членів Наглядової ради Товариства у повному складі, у тому числі: Члена/Голови Наглядової ради Наумчука Романа Вiкторовича в зв’язку із припиненням повноважень членів Наглядової ради. Непогашеної судимості за корисливі та посадові злочини не має. Термін перебування на посаді Члена/Голови Наглядової ради з 11.05.2015 р. Частка в статутному капіталі емітента – 2,022774%. Строк, протягом якого посадова особа перебувала на посаді – 11 років.</w:t>
            </w:r>
          </w:p>
        </w:tc>
      </w:tr>
      <w:tr w14:paraId="4D5059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4BDE8D">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D034C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Припинено повноваження</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2EF9F2">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Член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3E541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Федоренко Iгор Валерiйович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3E1F1D9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w:t>
            </w:r>
          </w:p>
        </w:tc>
      </w:tr>
      <w:tr w14:paraId="3DF1BA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527C5EA">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52819F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4A54FA0">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Річними дистанційними загальними зборами акціонерів ПрАТ "СПМК-523" (дата проведення - 30.04.2026р., дата складання Протоколу - 07.05.2026р.) прийнято рішення про припинення повноважень членів Наглядової ради Товариства у повному складі, у тому числі: Члена Наглядової ради Федоренко Iгоря Валерiйовича в зв’язку із припиненням повноважень членів Наглядової ради. Непогашеної судимості за корисливі та посадові злочини не має. Термін перебування на посаді Члена Наглядової ради з 11.05.2015 р. Частка в статутному капіталі емітента – 0,00%. Строк, протягом якого посадова особа перебувала на посаді – 11 років.</w:t>
            </w:r>
          </w:p>
        </w:tc>
      </w:tr>
      <w:tr w14:paraId="0942BD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F50CCC">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770E6F">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Припинено повноваження</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5243CE">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Член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877FD9">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Бублiй Галина Пилипiвна</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4A8035F3">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w:t>
            </w:r>
          </w:p>
        </w:tc>
      </w:tr>
      <w:tr w14:paraId="5D177F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47F4368">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676816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0911967">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Річними дистанційними загальними зборами акціонерів ПрАТ "СПМК-523" (дата проведення - 30.04.2026р., дата складання Протоколу - 07.05.2026р.) прийнято рішення про припинення повноважень членів Наглядової ради Товариства у повному складі, у тому числі: Члена Наглядової ради Бублiй Галини Пилипiвни в зв’язку із припиненням повноважень членів Наглядової ради. Непогашеної судимості за корисливі та посадові злочини не має. Термін перебування на посаді Члена Наглядової ради з 11.05.2015 р. Частка в статутному капіталі емітента – 0,00%. Строк, протягом якого посадова особа перебувала на посаді – 11 років.</w:t>
            </w:r>
          </w:p>
        </w:tc>
      </w:tr>
      <w:tr w14:paraId="320EA2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F9EEE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7D5B3B">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Обрано</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DAA1E">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Директор</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5B6A27">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Наумчук Вiктор Михайлович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4EE83177">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86,790484</w:t>
            </w:r>
          </w:p>
        </w:tc>
      </w:tr>
      <w:tr w14:paraId="354AEE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CBE3327">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3EB4A5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D9002D0">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 xml:space="preserve">Річними дистанційними загальними зборами акціонерів ПрАТ "СПМК-523" (дата проведення - 30.04.2026р., дата складання Протоколу - 07.05.2026р.) прийнято рішення про обрання Директора терміном на три роки (до наступних звітно-виборних зборів). Непогашеної судимості за корисливі та посадові злочини не має. Частка в статутному капіталі емітента – 86,790484 %. Загальний стаж роботи 45 років. Останні п’ять років: Директор ПрАТ "СПМК-523". </w:t>
            </w:r>
          </w:p>
        </w:tc>
      </w:tr>
      <w:tr w14:paraId="3A77F3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B4A197">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DBFC76">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Обрано</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C6B1B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Член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15ABC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Наумчук Роман Вікторович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32A7DB28">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2,022774</w:t>
            </w:r>
          </w:p>
        </w:tc>
      </w:tr>
      <w:tr w14:paraId="45B983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0FD898B">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64B5B9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821A910">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Річними дистанційними загальними зборами акціонерів ПрАТ "СПМК-523" (дата проведення - 30.04.2026р., дата складання Протоколу - 07.05.2026р.) прийнято рішення про обрання членів Наглядової ради Товариства у повному складі, у тому числі: члена Наглядової ради Наумчука Романа Вікторовича терміном на три роки (до наступних звітно-виборних зборів). Непогашеної судимості за корисливі та посадові злочини не має. Частка в статутному капіталі емітента – 2,022774 %. Загальний стаж роботи 20 років. Останні п’ять років перебував на посаді Голови Наглядової ради ПрАТ "СПМК-523".</w:t>
            </w:r>
          </w:p>
        </w:tc>
      </w:tr>
      <w:tr w14:paraId="1CDF76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563F6D">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04F0BF">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Обрано</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23612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Член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970C27">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Федоренко Ігор Валерійович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41AB8E53">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w:t>
            </w:r>
          </w:p>
        </w:tc>
      </w:tr>
      <w:tr w14:paraId="0CAD62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338DDD5">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760F3F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1F68DE8">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Річними дистанційними загальними зборами акціонерів ПрАТ "СПМК-523" (дата проведення - 30.04.2026р., дата складання Протоколу - 07.05.2026р.) прийнято рішення про обрання членів Наглядової ради Товариства у повному складі, у тому числі: члена Наглядової ради Федоренка Ігоря Валерійовича терміном на три роки (до наступних звітно-виборних зборів) .  Непогашеної судимості за корисливі та посадові злочини не має. Частка в статутному капіталі емітента – 0,00 %. Член Наглядової ради Федоренко Ігор Валерійович є представником акціонера Наумчук Алли Павлівни, яка володіє часткою в статутному капіталі товариства: 5,550245%. Загальний стаж роботи 38 років. Останні п’ять років перебував на посаді Члена Наглядової ради ПрАТ "СПМК-523".</w:t>
            </w:r>
          </w:p>
        </w:tc>
      </w:tr>
      <w:tr w14:paraId="5F1D7F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9154B8">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8A342E">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Обрано</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E9D6A8">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Член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C309CD">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Сасін Наталія Василівна</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5BF6037A">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2,021608</w:t>
            </w:r>
          </w:p>
        </w:tc>
      </w:tr>
      <w:tr w14:paraId="79394B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05A2FF5">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5687FF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FD64801">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Річними дистанційними загальними зборами акціонерів ПрАТ "СПМК-523" (дата проведення - 30.04.2026р., дата складання Протоколу - 07.05.2026р.) прийнято рішення про обрання членів Наглядової ради Товариства у повному складі, у тому числі: члена Наглядової ради Сасін Наталії Василівни терміном на три роки (до наступних звітно-виборних зборів). Непогашеної судимості за корисливі та посадові злочини не має. Частка в статутному капіталі емітента – 2,021608 %. Загальний стаж роботи 38 років. Останні п’ять років перебувала на посаді старший інженер конструкторського бюро “Київпроект”</w:t>
            </w:r>
          </w:p>
        </w:tc>
      </w:tr>
      <w:tr w14:paraId="70291A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44A359">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07.05.2026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E4209A">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Обрано</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FD786A">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Голова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AB221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Наумчук Роман Вiкторович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10D89C7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2,022774</w:t>
            </w:r>
          </w:p>
        </w:tc>
      </w:tr>
      <w:tr w14:paraId="04302A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2F1A890">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799AA1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AEAEEF6">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 xml:space="preserve">Рішенням Наглядової ради ПрАТ "СПМК-523" (Протокол від 07.05.2026р.) прийнято рішення про обрання головою Наглядової ради Товариства Наумчука Романа Вікторовича терміном на три роки (до наступних звітно-виборних зборів). Непогашеної судимості за корисливі та посадові злочини не має. Частка в статутному капіталі емітента – 2,022774 %. Загальний стаж роботи 20 років. Останні п’ять років перебував на посаді Голови Наглядової ради ПрАТ "СПМК-523". </w:t>
            </w:r>
          </w:p>
        </w:tc>
      </w:tr>
    </w:tbl>
    <w:p w14:paraId="4DAD35A8"/>
    <w:sectPr>
      <w:pgSz w:w="11905" w:h="16837"/>
      <w:pgMar w:top="570" w:right="720" w:bottom="570" w:left="720" w:header="720" w:footer="36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4746">
    <w:pPr>
      <w:spacing w:beforeLines="0" w:afterLines="0"/>
      <w:jc w:val="right"/>
      <w:rPr>
        <w:rFonts w:hint="default"/>
        <w:sz w:val="20"/>
        <w:szCs w:val="24"/>
      </w:rPr>
    </w:pPr>
    <w:r>
      <w:rPr>
        <w:rFonts w:hint="default"/>
        <w:sz w:val="20"/>
        <w:szCs w:val="24"/>
      </w:rPr>
      <w:fldChar w:fldCharType="begin"/>
    </w:r>
    <w:r>
      <w:rPr>
        <w:rFonts w:hint="default"/>
        <w:sz w:val="20"/>
        <w:szCs w:val="24"/>
      </w:rPr>
      <w:instrText xml:space="preserve">PAGE</w:instrText>
    </w:r>
    <w:r>
      <w:rPr>
        <w:rFonts w:hint="default"/>
        <w:sz w:val="20"/>
        <w:szCs w:val="24"/>
      </w:rPr>
      <w:fldChar w:fldCharType="separate"/>
    </w:r>
    <w:r>
      <w:rPr>
        <w:rFonts w:hint="default"/>
        <w:sz w:val="20"/>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085C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2026-05-08T14:54:28Z</dcterms:created>
  <dc:creator>Дмитро</dc:creator>
  <cp:lastModifiedBy>Дмитро</cp:lastModifiedBy>
  <dcterms:modified xsi:type="dcterms:W3CDTF">2026-05-08T14:55:41Z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476E1E2D5C544F2D93BDFCB42AB1CEA4_13</vt:lpwstr>
  </property>
</Properties>
</file>