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6202EA">
      <w:pPr>
        <w:spacing w:beforeLines="0" w:afterLines="0"/>
        <w:jc w:val="center"/>
        <w:rPr>
          <w:rFonts w:hint="default"/>
          <w:sz w:val="28"/>
          <w:szCs w:val="24"/>
        </w:rPr>
      </w:pPr>
      <w:bookmarkStart w:id="0" w:name="_GoBack"/>
      <w:bookmarkEnd w:id="0"/>
      <w:r>
        <w:rPr>
          <w:rFonts w:hint="default"/>
          <w:b/>
          <w:sz w:val="28"/>
          <w:szCs w:val="24"/>
        </w:rPr>
        <w:t>Титульний аркуш</w:t>
      </w:r>
    </w:p>
    <w:p w14:paraId="44EDECE0">
      <w:pPr>
        <w:spacing w:beforeLines="0" w:afterLines="0"/>
        <w:jc w:val="center"/>
        <w:rPr>
          <w:rFonts w:hint="default"/>
          <w:sz w:val="28"/>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230"/>
      </w:tblGrid>
      <w:tr w14:paraId="6A9A7BB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5194C1F0">
            <w:pPr>
              <w:spacing w:beforeLines="0" w:afterLines="0"/>
              <w:jc w:val="center"/>
              <w:rPr>
                <w:rFonts w:hint="default"/>
                <w:sz w:val="24"/>
                <w:szCs w:val="24"/>
              </w:rPr>
            </w:pPr>
            <w:r>
              <w:rPr>
                <w:rFonts w:hint="default"/>
                <w:sz w:val="24"/>
                <w:szCs w:val="24"/>
              </w:rPr>
              <w:t>07.04.2026</w:t>
            </w:r>
          </w:p>
        </w:tc>
      </w:tr>
      <w:tr w14:paraId="417BF49A">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059F9BA2">
            <w:pPr>
              <w:spacing w:beforeLines="0" w:afterLines="0"/>
              <w:jc w:val="center"/>
              <w:rPr>
                <w:rFonts w:hint="default"/>
                <w:sz w:val="20"/>
                <w:szCs w:val="24"/>
              </w:rPr>
            </w:pPr>
            <w:r>
              <w:rPr>
                <w:rFonts w:hint="default"/>
                <w:sz w:val="20"/>
                <w:szCs w:val="24"/>
              </w:rPr>
              <w:t>(дата реєстрації особою електронного документа)</w:t>
            </w:r>
          </w:p>
        </w:tc>
      </w:tr>
      <w:tr w14:paraId="52F9A3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5A7DEEFA">
            <w:pPr>
              <w:spacing w:beforeLines="0" w:afterLines="0"/>
              <w:jc w:val="center"/>
              <w:rPr>
                <w:rFonts w:hint="default"/>
                <w:sz w:val="24"/>
                <w:szCs w:val="24"/>
              </w:rPr>
            </w:pPr>
            <w:r>
              <w:rPr>
                <w:rFonts w:hint="default"/>
                <w:sz w:val="24"/>
                <w:szCs w:val="24"/>
              </w:rPr>
              <w:t>04/15</w:t>
            </w:r>
          </w:p>
        </w:tc>
      </w:tr>
      <w:tr w14:paraId="53E4459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45929B89">
            <w:pPr>
              <w:spacing w:beforeLines="0" w:afterLines="0"/>
              <w:jc w:val="center"/>
              <w:rPr>
                <w:rFonts w:hint="default"/>
                <w:sz w:val="20"/>
                <w:szCs w:val="24"/>
              </w:rPr>
            </w:pPr>
            <w:r>
              <w:rPr>
                <w:rFonts w:hint="default"/>
                <w:sz w:val="20"/>
                <w:szCs w:val="24"/>
              </w:rPr>
              <w:t>(вихідний реєстраційний номер електронного документа)</w:t>
            </w:r>
          </w:p>
        </w:tc>
      </w:tr>
    </w:tbl>
    <w:p w14:paraId="3F7D6B76">
      <w:pPr>
        <w:spacing w:beforeLines="0" w:afterLines="0"/>
        <w:jc w:val="left"/>
        <w:rPr>
          <w:rFonts w:hint="default"/>
          <w:sz w:val="20"/>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0465"/>
      </w:tblGrid>
      <w:tr w14:paraId="14925FC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tcBorders>
              <w:top w:val="nil"/>
              <w:left w:val="nil"/>
              <w:bottom w:val="nil"/>
              <w:right w:val="nil"/>
              <w:tl2br w:val="nil"/>
              <w:tr2bl w:val="nil"/>
            </w:tcBorders>
            <w:noWrap w:val="0"/>
            <w:vAlign w:val="bottom"/>
          </w:tcPr>
          <w:p w14:paraId="60EDB1B8">
            <w:pPr>
              <w:spacing w:beforeLines="0" w:afterLines="0"/>
              <w:jc w:val="left"/>
              <w:rPr>
                <w:rFonts w:hint="default"/>
                <w:sz w:val="24"/>
                <w:szCs w:val="24"/>
              </w:rPr>
            </w:pPr>
            <w:r>
              <w:rPr>
                <w:rFonts w:hint="default"/>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7F8949B9">
      <w:pPr>
        <w:spacing w:beforeLines="0" w:afterLines="0"/>
        <w:jc w:val="left"/>
        <w:rPr>
          <w:rFonts w:hint="default"/>
          <w:sz w:val="24"/>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0"/>
        <w:gridCol w:w="3500"/>
        <w:gridCol w:w="50"/>
        <w:gridCol w:w="3450"/>
      </w:tblGrid>
      <w:tr w14:paraId="7CF02F2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single" w:color="auto" w:sz="6" w:space="0"/>
              <w:right w:val="nil"/>
              <w:tl2br w:val="nil"/>
              <w:tr2bl w:val="nil"/>
            </w:tcBorders>
            <w:noWrap w:val="0"/>
            <w:vAlign w:val="bottom"/>
          </w:tcPr>
          <w:p w14:paraId="46B5E923">
            <w:pPr>
              <w:spacing w:beforeLines="0" w:afterLines="0"/>
              <w:jc w:val="center"/>
              <w:rPr>
                <w:rFonts w:hint="default"/>
                <w:sz w:val="24"/>
                <w:szCs w:val="24"/>
              </w:rPr>
            </w:pPr>
            <w:r>
              <w:rPr>
                <w:rFonts w:hint="default"/>
                <w:sz w:val="24"/>
                <w:szCs w:val="24"/>
              </w:rPr>
              <w:t>Директор</w:t>
            </w:r>
          </w:p>
        </w:tc>
        <w:tc>
          <w:tcPr>
            <w:tcW w:w="50" w:type="dxa"/>
            <w:tcBorders>
              <w:top w:val="nil"/>
              <w:left w:val="nil"/>
              <w:bottom w:val="nil"/>
              <w:right w:val="nil"/>
              <w:tl2br w:val="nil"/>
              <w:tr2bl w:val="nil"/>
            </w:tcBorders>
            <w:noWrap w:val="0"/>
            <w:vAlign w:val="top"/>
          </w:tcPr>
          <w:p w14:paraId="55F29E7A">
            <w:pPr>
              <w:spacing w:beforeLines="0" w:afterLines="0"/>
              <w:jc w:val="center"/>
              <w:rPr>
                <w:rFonts w:hint="default"/>
                <w:sz w:val="24"/>
                <w:szCs w:val="24"/>
              </w:rPr>
            </w:pPr>
          </w:p>
        </w:tc>
        <w:tc>
          <w:tcPr>
            <w:tcW w:w="3500" w:type="dxa"/>
            <w:tcBorders>
              <w:top w:val="nil"/>
              <w:left w:val="nil"/>
              <w:bottom w:val="single" w:color="auto" w:sz="6" w:space="0"/>
              <w:right w:val="nil"/>
              <w:tl2br w:val="nil"/>
              <w:tr2bl w:val="nil"/>
            </w:tcBorders>
            <w:noWrap w:val="0"/>
            <w:vAlign w:val="bottom"/>
          </w:tcPr>
          <w:p w14:paraId="326D9B58">
            <w:pPr>
              <w:spacing w:beforeLines="0" w:afterLines="0"/>
              <w:jc w:val="center"/>
              <w:rPr>
                <w:rFonts w:hint="default"/>
                <w:sz w:val="24"/>
                <w:szCs w:val="24"/>
              </w:rPr>
            </w:pPr>
          </w:p>
        </w:tc>
        <w:tc>
          <w:tcPr>
            <w:tcW w:w="50" w:type="dxa"/>
            <w:tcBorders>
              <w:top w:val="nil"/>
              <w:left w:val="nil"/>
              <w:bottom w:val="nil"/>
              <w:right w:val="nil"/>
              <w:tl2br w:val="nil"/>
              <w:tr2bl w:val="nil"/>
            </w:tcBorders>
            <w:noWrap w:val="0"/>
            <w:vAlign w:val="top"/>
          </w:tcPr>
          <w:p w14:paraId="59BA3C90">
            <w:pPr>
              <w:spacing w:beforeLines="0" w:afterLines="0"/>
              <w:jc w:val="center"/>
              <w:rPr>
                <w:rFonts w:hint="default"/>
                <w:sz w:val="24"/>
                <w:szCs w:val="24"/>
              </w:rPr>
            </w:pPr>
          </w:p>
        </w:tc>
        <w:tc>
          <w:tcPr>
            <w:tcW w:w="3450" w:type="dxa"/>
            <w:tcBorders>
              <w:top w:val="nil"/>
              <w:left w:val="nil"/>
              <w:bottom w:val="single" w:color="auto" w:sz="6" w:space="0"/>
              <w:right w:val="nil"/>
              <w:tl2br w:val="nil"/>
              <w:tr2bl w:val="nil"/>
            </w:tcBorders>
            <w:noWrap w:val="0"/>
            <w:vAlign w:val="bottom"/>
          </w:tcPr>
          <w:p w14:paraId="5A4E7258">
            <w:pPr>
              <w:spacing w:beforeLines="0" w:afterLines="0"/>
              <w:jc w:val="center"/>
              <w:rPr>
                <w:rFonts w:hint="default"/>
                <w:sz w:val="24"/>
                <w:szCs w:val="24"/>
              </w:rPr>
            </w:pPr>
            <w:r>
              <w:rPr>
                <w:rFonts w:hint="default"/>
                <w:sz w:val="24"/>
                <w:szCs w:val="24"/>
              </w:rPr>
              <w:t>Наумчук Вiктор Михайлович</w:t>
            </w:r>
          </w:p>
        </w:tc>
      </w:tr>
      <w:tr w14:paraId="570EA8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nil"/>
              <w:right w:val="nil"/>
              <w:tl2br w:val="nil"/>
              <w:tr2bl w:val="nil"/>
            </w:tcBorders>
            <w:noWrap w:val="0"/>
            <w:vAlign w:val="top"/>
          </w:tcPr>
          <w:p w14:paraId="3BE2319C">
            <w:pPr>
              <w:spacing w:beforeLines="0" w:afterLines="0"/>
              <w:jc w:val="center"/>
              <w:rPr>
                <w:rFonts w:hint="default"/>
                <w:sz w:val="20"/>
                <w:szCs w:val="24"/>
              </w:rPr>
            </w:pPr>
            <w:r>
              <w:rPr>
                <w:rFonts w:hint="default"/>
                <w:sz w:val="20"/>
                <w:szCs w:val="24"/>
              </w:rPr>
              <w:t>(посада)</w:t>
            </w:r>
          </w:p>
        </w:tc>
        <w:tc>
          <w:tcPr>
            <w:tcW w:w="50" w:type="dxa"/>
            <w:tcBorders>
              <w:top w:val="nil"/>
              <w:left w:val="nil"/>
              <w:bottom w:val="nil"/>
              <w:right w:val="nil"/>
              <w:tl2br w:val="nil"/>
              <w:tr2bl w:val="nil"/>
            </w:tcBorders>
            <w:noWrap w:val="0"/>
            <w:vAlign w:val="top"/>
          </w:tcPr>
          <w:p w14:paraId="255B6016">
            <w:pPr>
              <w:spacing w:beforeLines="0" w:afterLines="0"/>
              <w:jc w:val="center"/>
              <w:rPr>
                <w:rFonts w:hint="default"/>
                <w:sz w:val="20"/>
                <w:szCs w:val="24"/>
              </w:rPr>
            </w:pPr>
          </w:p>
        </w:tc>
        <w:tc>
          <w:tcPr>
            <w:tcW w:w="3500" w:type="dxa"/>
            <w:tcBorders>
              <w:top w:val="nil"/>
              <w:left w:val="nil"/>
              <w:bottom w:val="nil"/>
              <w:right w:val="nil"/>
              <w:tl2br w:val="nil"/>
              <w:tr2bl w:val="nil"/>
            </w:tcBorders>
            <w:noWrap w:val="0"/>
            <w:vAlign w:val="top"/>
          </w:tcPr>
          <w:p w14:paraId="0E82C6AD">
            <w:pPr>
              <w:spacing w:beforeLines="0" w:afterLines="0"/>
              <w:jc w:val="center"/>
              <w:rPr>
                <w:rFonts w:hint="default"/>
                <w:sz w:val="20"/>
                <w:szCs w:val="24"/>
              </w:rPr>
            </w:pPr>
            <w:r>
              <w:rPr>
                <w:rFonts w:hint="default"/>
                <w:sz w:val="20"/>
                <w:szCs w:val="24"/>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50" w:type="dxa"/>
            <w:tcBorders>
              <w:top w:val="nil"/>
              <w:left w:val="nil"/>
              <w:bottom w:val="nil"/>
              <w:right w:val="nil"/>
              <w:tl2br w:val="nil"/>
              <w:tr2bl w:val="nil"/>
            </w:tcBorders>
            <w:noWrap w:val="0"/>
            <w:vAlign w:val="top"/>
          </w:tcPr>
          <w:p w14:paraId="63D70AF1">
            <w:pPr>
              <w:spacing w:beforeLines="0" w:afterLines="0"/>
              <w:jc w:val="center"/>
              <w:rPr>
                <w:rFonts w:hint="default"/>
                <w:sz w:val="20"/>
                <w:szCs w:val="24"/>
              </w:rPr>
            </w:pPr>
          </w:p>
        </w:tc>
        <w:tc>
          <w:tcPr>
            <w:tcW w:w="3450" w:type="dxa"/>
            <w:tcBorders>
              <w:top w:val="nil"/>
              <w:left w:val="nil"/>
              <w:bottom w:val="nil"/>
              <w:right w:val="nil"/>
              <w:tl2br w:val="nil"/>
              <w:tr2bl w:val="nil"/>
            </w:tcBorders>
            <w:noWrap w:val="0"/>
            <w:vAlign w:val="top"/>
          </w:tcPr>
          <w:p w14:paraId="16D1C2C9">
            <w:pPr>
              <w:spacing w:beforeLines="0" w:afterLines="0"/>
              <w:jc w:val="center"/>
              <w:rPr>
                <w:rFonts w:hint="default"/>
                <w:sz w:val="20"/>
                <w:szCs w:val="24"/>
              </w:rPr>
            </w:pPr>
            <w:r>
              <w:rPr>
                <w:rFonts w:hint="default"/>
                <w:sz w:val="20"/>
                <w:szCs w:val="24"/>
              </w:rPr>
              <w:t>(прізвище та ініціали керівника або уповноваженої особи)</w:t>
            </w:r>
          </w:p>
        </w:tc>
      </w:tr>
    </w:tbl>
    <w:p w14:paraId="3FD739C1">
      <w:pPr>
        <w:spacing w:beforeLines="0" w:afterLines="0"/>
        <w:jc w:val="left"/>
        <w:rPr>
          <w:rFonts w:hint="default"/>
          <w:sz w:val="20"/>
          <w:szCs w:val="24"/>
        </w:rPr>
      </w:pPr>
    </w:p>
    <w:p w14:paraId="4C7147BC">
      <w:pPr>
        <w:spacing w:beforeLines="0" w:afterLines="0"/>
        <w:jc w:val="center"/>
        <w:rPr>
          <w:rFonts w:hint="default"/>
          <w:b/>
          <w:sz w:val="24"/>
          <w:szCs w:val="24"/>
        </w:rPr>
      </w:pPr>
      <w:r>
        <w:rPr>
          <w:rFonts w:hint="default"/>
          <w:b/>
          <w:sz w:val="24"/>
          <w:szCs w:val="24"/>
        </w:rPr>
        <w:t>Річний звіт</w:t>
      </w:r>
    </w:p>
    <w:p w14:paraId="68691221">
      <w:pPr>
        <w:spacing w:beforeLines="0" w:afterLines="0"/>
        <w:jc w:val="center"/>
        <w:rPr>
          <w:rFonts w:hint="default"/>
          <w:b/>
          <w:sz w:val="24"/>
          <w:szCs w:val="24"/>
        </w:rPr>
      </w:pPr>
      <w:r>
        <w:rPr>
          <w:rFonts w:hint="default"/>
          <w:b/>
          <w:sz w:val="24"/>
          <w:szCs w:val="24"/>
        </w:rPr>
        <w:t>ПРИВАТНЕ АКЦIОНЕРНЕ ТОВАРИСТВО "СПМК-523" (01354473)</w:t>
      </w:r>
    </w:p>
    <w:p w14:paraId="259A8AEE">
      <w:pPr>
        <w:spacing w:beforeLines="0" w:afterLines="0"/>
        <w:jc w:val="center"/>
        <w:rPr>
          <w:rFonts w:hint="default"/>
          <w:b/>
          <w:sz w:val="24"/>
          <w:szCs w:val="24"/>
        </w:rPr>
      </w:pPr>
      <w:r>
        <w:rPr>
          <w:rFonts w:hint="default"/>
          <w:b/>
          <w:sz w:val="24"/>
          <w:szCs w:val="24"/>
        </w:rPr>
        <w:t>за 2015 рік</w:t>
      </w:r>
    </w:p>
    <w:p w14:paraId="1236A21E">
      <w:pPr>
        <w:spacing w:beforeLines="0" w:afterLines="0"/>
        <w:jc w:val="center"/>
        <w:rPr>
          <w:rFonts w:hint="default"/>
          <w:b/>
          <w:sz w:val="24"/>
          <w:szCs w:val="24"/>
        </w:rPr>
      </w:pPr>
    </w:p>
    <w:p w14:paraId="09F581E4">
      <w:pPr>
        <w:spacing w:beforeLines="0" w:afterLines="0"/>
        <w:rPr>
          <w:rFonts w:hint="default"/>
          <w:sz w:val="24"/>
          <w:szCs w:val="24"/>
        </w:rPr>
      </w:pPr>
      <w:r>
        <w:rPr>
          <w:rFonts w:hint="default"/>
          <w:sz w:val="24"/>
          <w:szCs w:val="24"/>
        </w:rPr>
        <w:t>Рішення про затвердження річного звіту: Рiчний звiт затверджено Директором. Засiдання Наглядової ради щодо затвердження рiчного звiту не скликались.</w:t>
      </w:r>
    </w:p>
    <w:p w14:paraId="40A5FE1C">
      <w:pPr>
        <w:spacing w:beforeLines="0" w:afterLines="0"/>
        <w:jc w:val="left"/>
        <w:rPr>
          <w:rFonts w:hint="default"/>
          <w:sz w:val="24"/>
          <w:szCs w:val="24"/>
        </w:rPr>
      </w:pPr>
      <w:r>
        <w:rPr>
          <w:rFonts w:hint="default"/>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6E1C04C6">
      <w:pPr>
        <w:spacing w:beforeLines="0" w:afterLines="0"/>
        <w:jc w:val="left"/>
        <w:rPr>
          <w:rFonts w:hint="default"/>
          <w:sz w:val="24"/>
          <w:szCs w:val="24"/>
        </w:rPr>
      </w:pPr>
      <w:r>
        <w:rPr>
          <w:rFonts w:hint="default"/>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488DA8C0">
      <w:pPr>
        <w:spacing w:beforeLines="0" w:afterLines="0"/>
        <w:jc w:val="left"/>
        <w:rPr>
          <w:rFonts w:hint="default"/>
          <w:sz w:val="24"/>
          <w:szCs w:val="24"/>
        </w:rPr>
      </w:pPr>
    </w:p>
    <w:p w14:paraId="6D102769">
      <w:pPr>
        <w:spacing w:beforeLines="0" w:afterLines="0"/>
        <w:rPr>
          <w:rFonts w:hint="default"/>
          <w:sz w:val="24"/>
          <w:szCs w:val="24"/>
        </w:rPr>
      </w:pPr>
      <w:r>
        <w:rPr>
          <w:rFonts w:hint="default"/>
          <w:sz w:val="24"/>
          <w:szCs w:val="24"/>
        </w:rPr>
        <w:t>Дані про дату та місце оприлюднення річної інформації:</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165"/>
        <w:gridCol w:w="1885"/>
      </w:tblGrid>
      <w:tr w14:paraId="696BA9A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restart"/>
            <w:tcBorders>
              <w:top w:val="nil"/>
              <w:left w:val="nil"/>
              <w:bottom w:val="nil"/>
              <w:right w:val="nil"/>
              <w:tl2br w:val="nil"/>
              <w:tr2bl w:val="nil"/>
            </w:tcBorders>
            <w:noWrap w:val="0"/>
            <w:vAlign w:val="top"/>
          </w:tcPr>
          <w:p w14:paraId="2E2E6C3C">
            <w:pPr>
              <w:spacing w:beforeLines="0" w:afterLines="0"/>
              <w:jc w:val="left"/>
              <w:rPr>
                <w:rFonts w:hint="default"/>
                <w:sz w:val="24"/>
                <w:szCs w:val="24"/>
              </w:rPr>
            </w:pPr>
            <w:r>
              <w:rPr>
                <w:rFonts w:hint="default"/>
                <w:sz w:val="24"/>
                <w:szCs w:val="24"/>
              </w:rPr>
              <w:t>Річну інформацію розміщено на власному вебсайті емітента</w:t>
            </w:r>
          </w:p>
        </w:tc>
        <w:tc>
          <w:tcPr>
            <w:tcW w:w="5165" w:type="dxa"/>
            <w:tcBorders>
              <w:top w:val="nil"/>
              <w:left w:val="nil"/>
              <w:bottom w:val="single" w:color="auto" w:sz="6" w:space="0"/>
              <w:right w:val="nil"/>
              <w:tl2br w:val="nil"/>
              <w:tr2bl w:val="nil"/>
            </w:tcBorders>
            <w:noWrap w:val="0"/>
            <w:vAlign w:val="bottom"/>
          </w:tcPr>
          <w:p w14:paraId="19F41A0A">
            <w:pPr>
              <w:spacing w:beforeLines="0" w:afterLines="0"/>
              <w:jc w:val="center"/>
              <w:rPr>
                <w:rFonts w:hint="default"/>
                <w:sz w:val="24"/>
                <w:szCs w:val="24"/>
              </w:rPr>
            </w:pPr>
            <w:r>
              <w:rPr>
                <w:rFonts w:hint="default"/>
                <w:sz w:val="24"/>
                <w:szCs w:val="24"/>
              </w:rPr>
              <w:t>http://spmk523.emitents.net.ua/ua/docs/?fg_id=100</w:t>
            </w:r>
          </w:p>
        </w:tc>
        <w:tc>
          <w:tcPr>
            <w:tcW w:w="1885" w:type="dxa"/>
            <w:tcBorders>
              <w:top w:val="nil"/>
              <w:left w:val="nil"/>
              <w:bottom w:val="single" w:color="auto" w:sz="6" w:space="0"/>
              <w:right w:val="nil"/>
              <w:tl2br w:val="nil"/>
              <w:tr2bl w:val="nil"/>
            </w:tcBorders>
            <w:noWrap w:val="0"/>
            <w:vAlign w:val="bottom"/>
          </w:tcPr>
          <w:p w14:paraId="7642A81D">
            <w:pPr>
              <w:spacing w:beforeLines="0" w:afterLines="0"/>
              <w:jc w:val="center"/>
              <w:rPr>
                <w:rFonts w:hint="default"/>
                <w:sz w:val="24"/>
                <w:szCs w:val="24"/>
              </w:rPr>
            </w:pPr>
            <w:r>
              <w:rPr>
                <w:rFonts w:hint="default"/>
                <w:sz w:val="24"/>
                <w:szCs w:val="24"/>
              </w:rPr>
              <w:t>07.04.2026</w:t>
            </w:r>
          </w:p>
        </w:tc>
      </w:tr>
      <w:tr w14:paraId="135A58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continue"/>
            <w:tcBorders>
              <w:top w:val="nil"/>
              <w:left w:val="nil"/>
              <w:bottom w:val="nil"/>
              <w:right w:val="nil"/>
              <w:tl2br w:val="nil"/>
              <w:tr2bl w:val="nil"/>
            </w:tcBorders>
            <w:noWrap w:val="0"/>
            <w:vAlign w:val="top"/>
          </w:tcPr>
          <w:p w14:paraId="6D12E5A2">
            <w:pPr>
              <w:spacing w:beforeLines="0" w:afterLines="0"/>
              <w:jc w:val="left"/>
              <w:rPr>
                <w:rFonts w:hint="default"/>
                <w:sz w:val="20"/>
                <w:szCs w:val="24"/>
              </w:rPr>
            </w:pPr>
          </w:p>
        </w:tc>
        <w:tc>
          <w:tcPr>
            <w:tcW w:w="5165" w:type="dxa"/>
            <w:tcBorders>
              <w:top w:val="nil"/>
              <w:left w:val="nil"/>
              <w:bottom w:val="nil"/>
              <w:right w:val="nil"/>
              <w:tl2br w:val="nil"/>
              <w:tr2bl w:val="nil"/>
            </w:tcBorders>
            <w:noWrap w:val="0"/>
            <w:vAlign w:val="bottom"/>
          </w:tcPr>
          <w:p w14:paraId="3CAF9D62">
            <w:pPr>
              <w:spacing w:beforeLines="0" w:afterLines="0"/>
              <w:jc w:val="center"/>
              <w:rPr>
                <w:rFonts w:hint="default"/>
                <w:sz w:val="20"/>
                <w:szCs w:val="24"/>
              </w:rPr>
            </w:pPr>
            <w:r>
              <w:rPr>
                <w:rFonts w:hint="default"/>
                <w:sz w:val="20"/>
                <w:szCs w:val="24"/>
              </w:rPr>
              <w:t>(URL-адреса вебсайту)</w:t>
            </w:r>
          </w:p>
        </w:tc>
        <w:tc>
          <w:tcPr>
            <w:tcW w:w="1885" w:type="dxa"/>
            <w:tcBorders>
              <w:top w:val="nil"/>
              <w:left w:val="nil"/>
              <w:bottom w:val="nil"/>
              <w:right w:val="nil"/>
              <w:tl2br w:val="nil"/>
              <w:tr2bl w:val="nil"/>
            </w:tcBorders>
            <w:noWrap w:val="0"/>
            <w:vAlign w:val="bottom"/>
          </w:tcPr>
          <w:p w14:paraId="6CE448B3">
            <w:pPr>
              <w:spacing w:beforeLines="0" w:afterLines="0"/>
              <w:jc w:val="center"/>
              <w:rPr>
                <w:rFonts w:hint="default"/>
                <w:sz w:val="20"/>
                <w:szCs w:val="24"/>
              </w:rPr>
            </w:pPr>
            <w:r>
              <w:rPr>
                <w:rFonts w:hint="default"/>
                <w:sz w:val="20"/>
                <w:szCs w:val="24"/>
              </w:rPr>
              <w:t>(дата)</w:t>
            </w:r>
          </w:p>
        </w:tc>
      </w:tr>
    </w:tbl>
    <w:p w14:paraId="74FE1405">
      <w:pPr>
        <w:spacing w:beforeLines="0" w:afterLines="0"/>
        <w:jc w:val="left"/>
        <w:rPr>
          <w:rFonts w:hint="default"/>
          <w:sz w:val="20"/>
          <w:szCs w:val="24"/>
        </w:rPr>
        <w:sectPr>
          <w:pgSz w:w="12240" w:h="15840"/>
          <w:pgMar w:top="570" w:right="720" w:bottom="570" w:left="720" w:header="720" w:footer="720" w:gutter="0"/>
          <w:lnNumType w:countBy="0" w:distance="360"/>
          <w:cols w:space="720" w:num="1"/>
        </w:sectPr>
      </w:pPr>
    </w:p>
    <w:p w14:paraId="49A7F43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Пояснення щодо розкриття інформації</w:t>
      </w:r>
    </w:p>
    <w:p w14:paraId="0D7414A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усiх випускiв цiнних паперiв, за якими надається забезпечення не надається, тому що Товариство не має цiнних паперiв, за якими надається забезпечення.</w:t>
      </w:r>
    </w:p>
    <w:p w14:paraId="5558C06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всiх осiб, якi надають забезпечення за зобов'язаннями емiтента не надається, тому що таких осiб немає.</w:t>
      </w:r>
    </w:p>
    <w:p w14:paraId="70ABF18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рейтингове агентство не надається, тому що Товариство не визначало свiй кредитний рейтинг або рейтинг цiнних паперiв.</w:t>
      </w:r>
    </w:p>
    <w:p w14:paraId="24075AC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штрафнi санкцiї не надається, тому що штрафних санкцiй у розмiрi, який перевищує 1000 грн у звiтному перiодi не було.</w:t>
      </w:r>
    </w:p>
    <w:p w14:paraId="1A6F05D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Посадовi особи Товариства не надали згоди на розкриття своїх персональних даних.</w:t>
      </w:r>
    </w:p>
    <w:p w14:paraId="0B0E1EF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корпоративного секретаря не надається, тому що корпоративний секретар не обирався згiдно iз ч.1 ст. 85 Закону України "Про акцiонернi товариства".</w:t>
      </w:r>
    </w:p>
    <w:p w14:paraId="4BFBEDF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отриманих лiцензiй не надається, тому що Товариство не має лiцензiй.</w:t>
      </w:r>
    </w:p>
    <w:p w14:paraId="40F0DD0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обсяги виробництва та реалiзацiї основних видiв продукцiї та Iнформацiя про собiвартiсть реалiзованої продукцiї не надається, тому що Товариство не вiдноситься до пiдприємств, якi займаються видами дiяльностi, що класифiкуються як переробна, добувна промисловiсть або</w:t>
      </w:r>
    </w:p>
    <w:p w14:paraId="3988DD7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виробництво та розподiлення електроенергiї, газу та води за класифiкатором видiв економiчної дiяльностi.</w:t>
      </w:r>
    </w:p>
    <w:p w14:paraId="53A3F6C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бере участi в iнших юридичних особах, тому iнформацiя не надається.</w:t>
      </w:r>
    </w:p>
    <w:p w14:paraId="59F1075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вiдокремленi пiдроздiли не надається, тому що Товариство не має фiлiалiв або iнших вiдокремлених пiдроздiлiв.</w:t>
      </w:r>
    </w:p>
    <w:p w14:paraId="020B051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Змiн прав на акцiї не було, тому iнформацiя не надається.</w:t>
      </w:r>
    </w:p>
    <w:p w14:paraId="79F55C4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Уточнення щодо наявностi обмежень за акцiями не надається, тому що Товариство не має викуплених акцiй та iнших не голосуючих акцiй.</w:t>
      </w:r>
    </w:p>
    <w:p w14:paraId="611F8F3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облiгацiї не надається, тому що Товариство не випускало облiгацiй.</w:t>
      </w:r>
    </w:p>
    <w:p w14:paraId="19C9811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iншi цiннi папери не надається, тому що Товариство не випускало iнших цiнних паперiв.</w:t>
      </w:r>
    </w:p>
    <w:p w14:paraId="5B49C55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деривативнi цiннi папери не надається, тому що Товариство не випускало деривативнi цiннi папери.</w:t>
      </w:r>
    </w:p>
    <w:p w14:paraId="6249B78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забезпечення випуску боргових цiнних папнерiв не надається, тому що Товариство не випускало забезпечених боргових цiнних паперiв.</w:t>
      </w:r>
    </w:p>
    <w:p w14:paraId="213A2CE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 про стан об'єкта нерухомостi не надається, тому що Товариство не випускало цiльових корпоративних облiгацiй, виконання зобов'язань за якими здiйснюється шляхом об'єкта (частини об'єкта) житлового будiвництва.</w:t>
      </w:r>
    </w:p>
    <w:p w14:paraId="2174948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придбання власних акцiй протягом звiтного перiоду не надається, тому що Товариство не придбавало власних акцiй протягом звiтного перiоду.</w:t>
      </w:r>
    </w:p>
    <w:p w14:paraId="172EC82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наявнiсть у власностi працiвникiв Товариства цiнних паперiв (крiм акцiй) не надається, тому що Товариство не випускало iнших цiнних паперiв.</w:t>
      </w:r>
    </w:p>
    <w:p w14:paraId="37D2B70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надається, тому що будь-якi обмеження щодо обiгу акцiй Товариства вiдсутнi.</w:t>
      </w:r>
    </w:p>
    <w:p w14:paraId="2561466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Голосуючих акцiй, права голосу за якими обмежено немає, тому iнформацiя не надається.</w:t>
      </w:r>
    </w:p>
    <w:p w14:paraId="4C32B86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Змiни акцiонерiв, яким належать голосуючi акцiї, розмiр пакета яких стає бiльшим, меншим або рiвним пороговому значенню пакета акцiй, не було, тому iнформацiя не надається. </w:t>
      </w:r>
    </w:p>
    <w:p w14:paraId="1B5508A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складає фiнансову звiтнiсть за нацiональними стандартами фiнансової звiтностi, тому URL-адреса веб-сайту, за якою розмiщено рiчну фiнансову звiтнiсть не надається.</w:t>
      </w:r>
    </w:p>
    <w:p w14:paraId="46548A3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аудиторський звiт до рiчної фiнансової звiтностi не надається, тому що Товариство за категорiєю є мiкро-пiдприємством i не зобов'язане проводити обов'язковий аудит фiнансової звiтностi.</w:t>
      </w:r>
    </w:p>
    <w:p w14:paraId="0B1F539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прийняття рiшення про попереднє надання згоди на вчинення значних правочинiв, Iнформацiя про вчинення значних правочинiв, Iнформацiя про вчинення правочинiв, щодо вчинення яких є заiнтересованiсть, Звiт про платежi на користь держави не розкривається Приватними акцiонерними товариствами.</w:t>
      </w:r>
    </w:p>
    <w:p w14:paraId="138B8A0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має власного кодексу корпоративного управлiння, тому Iнформацiя про кодекс корпоративного управлiння, яким керується особа, Iнформацiя про практику корпоративного управлiння не надається.</w:t>
      </w:r>
    </w:p>
    <w:p w14:paraId="37831D4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збори власникiв облiгацiй та загальний опис прийнятих на таких зборах рiшень не надається, тому що Товариство не випускало облiгацiй.</w:t>
      </w:r>
    </w:p>
    <w:p w14:paraId="49F2015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проведенi засiдання комiтетiв ради та загальний опис прийнятих рiшень не надається, тому що комiтети у складi Наглядової ради не створювалися.</w:t>
      </w:r>
    </w:p>
    <w:p w14:paraId="72ABC4F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Iнформацiя про проведенi засiдання комiтетiв колегiального виконавчого органу та загальний опис прийнятих рiшень, Звiт виконавчого органу не надається, тому що в Товариствi створено одноосiбний виконавчий орган.</w:t>
      </w:r>
    </w:p>
    <w:p w14:paraId="214EBF8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корпоративного секретаря, а також звiт щодо результатiв його дiяльностi не надається, тому що корпоративний секретар не обирався.</w:t>
      </w:r>
    </w:p>
    <w:p w14:paraId="23210D5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Система внутрiшнього контролю в Товариствi не впроваджувалась, тому Опис основних характеристик систем внутрiшнього контролю не надається.</w:t>
      </w:r>
    </w:p>
    <w:p w14:paraId="324AAAB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будь-яких обмежень прав участi та голосування акцiонерiв на загальних зборах не надається, тому що такi обмеження вiдсутнi.</w:t>
      </w:r>
    </w:p>
    <w:p w14:paraId="59A9440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порядку призначення/ звiльнення посадових осiб (крiм ради та виконавчого органу) Товариства не надається, тому що iнших посадових осiб, крiм членiв Наглядової ради та директора немає.</w:t>
      </w:r>
    </w:p>
    <w:p w14:paraId="3A54C06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винагороду членiв виконавчого органу та/ або ради особи не розкривають Приватнi акцiонернi товариства.</w:t>
      </w:r>
    </w:p>
    <w:p w14:paraId="62A3790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полiтику розкриття iнформацiї не надається, тому що в Товариствi вiдсутнiй внутрiшнiй документ, який визначає полiтику щодо розкриття iнформацiї.</w:t>
      </w:r>
    </w:p>
    <w:p w14:paraId="6420CED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радника не надається, тому що радник у Товариствi вiдсутнiй.</w:t>
      </w:r>
    </w:p>
    <w:p w14:paraId="0A4AEF8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вiд суб'єкта аудиторської дiяльностi не надається, тому що Товариство не залучало суб'єкта аудиторської дiяльностi для перевiрки.</w:t>
      </w:r>
    </w:p>
    <w:p w14:paraId="7730FC4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передбачена законодавством про дiяльнiсть та регулювання дiяльностi на ринку фiнансових послуг не надається, тому що Товариство не є фiнансовою установою.</w:t>
      </w:r>
    </w:p>
    <w:p w14:paraId="240D247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 про сталий розвиток вiдсутнiй, тому Iнформацiя не надається.</w:t>
      </w:r>
    </w:p>
    <w:p w14:paraId="7A7D1B0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наявностi у емiтента вiдносин з iноземними державами зони ризику не надається, тому що у Товариства вiдсутнi зв'язки з iноземним державами зони ризику.</w:t>
      </w:r>
    </w:p>
    <w:p w14:paraId="623F10C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корпоративнi/ акцiонернi договори, укладенi акцiонерами Товариства не надається, тому що такi договори вiдсутнi.</w:t>
      </w:r>
    </w:p>
    <w:p w14:paraId="153DA35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договори та/ або правочини, умовою чинностi яких є незмiннiсть осiб, якi здiйснюють контроль над емiтентом не надається, тому що такi договори вiдсутнi.</w:t>
      </w:r>
    </w:p>
    <w:p w14:paraId="39EB9FF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винагороди або компенсацiї, якi мають бути виплаченi посадовим особам емiтента в разi їх звiльнення не розкривається Приватними акцiонерними товариствами.</w:t>
      </w:r>
    </w:p>
    <w:p w14:paraId="79D9674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Дивiдендна полiтика не надається, тому що в Товариствi вiдсутнiй внутрiшнiй документ, що визначає дивiдендну полiтику.</w:t>
      </w:r>
    </w:p>
    <w:p w14:paraId="6868A21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виплату дивiдендiв не надається, тому що дивiденди у звiтному перiодi не виплачувались.</w:t>
      </w:r>
    </w:p>
    <w:p w14:paraId="4DE8F00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Список посилань на регульовану iнформацiю, яка була розкрита протягом звiтного перiоду, не надається, тому що така iнформацiя не розкривалася.</w:t>
      </w:r>
    </w:p>
    <w:p w14:paraId="1C16B4C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Рiчна фiнансова звiтнiсть поручителя (страховика/ гаранта), що здiйснює забезпечення випуску боргових цiнних паперiв не надається, тому що Товариство не випускало борговi цiннi папери.</w:t>
      </w:r>
    </w:p>
    <w:p w14:paraId="6DA1FDF1">
      <w:pPr>
        <w:spacing w:beforeLines="0" w:afterLines="0"/>
        <w:rPr>
          <w:rFonts w:hint="default" w:ascii="Times New Roman CYR" w:hAnsi="Times New Roman CYR" w:eastAsia="Times New Roman CYR"/>
          <w:sz w:val="24"/>
          <w:szCs w:val="24"/>
        </w:rPr>
      </w:pPr>
    </w:p>
    <w:p w14:paraId="03422E78">
      <w:pPr>
        <w:spacing w:beforeLines="0" w:afterLines="0"/>
        <w:rPr>
          <w:rFonts w:hint="default" w:ascii="Times New Roman CYR" w:hAnsi="Times New Roman CYR" w:eastAsia="Times New Roman CYR"/>
          <w:sz w:val="24"/>
          <w:szCs w:val="24"/>
        </w:rPr>
      </w:pPr>
    </w:p>
    <w:p w14:paraId="6AE4BA3F">
      <w:pPr>
        <w:spacing w:beforeLines="0" w:afterLines="0"/>
        <w:rPr>
          <w:rFonts w:hint="default" w:ascii="Times New Roman CYR" w:hAnsi="Times New Roman CYR" w:eastAsia="Times New Roman CYR"/>
          <w:sz w:val="24"/>
          <w:szCs w:val="24"/>
        </w:rPr>
      </w:pPr>
    </w:p>
    <w:p w14:paraId="0C813BDA">
      <w:pPr>
        <w:spacing w:beforeLines="0" w:afterLines="0"/>
        <w:rPr>
          <w:rFonts w:hint="default" w:ascii="Times New Roman CYR" w:hAnsi="Times New Roman CYR" w:eastAsia="Times New Roman CYR"/>
          <w:sz w:val="24"/>
          <w:szCs w:val="24"/>
        </w:rPr>
      </w:pPr>
    </w:p>
    <w:p w14:paraId="27502388">
      <w:pPr>
        <w:spacing w:beforeLines="0" w:afterLines="0"/>
        <w:rPr>
          <w:rFonts w:hint="default" w:ascii="Times New Roman CYR" w:hAnsi="Times New Roman CYR" w:eastAsia="Times New Roman CYR"/>
          <w:sz w:val="24"/>
          <w:szCs w:val="24"/>
        </w:rPr>
      </w:pPr>
    </w:p>
    <w:p w14:paraId="2E2A2882">
      <w:pPr>
        <w:spacing w:beforeLines="0" w:afterLines="0"/>
        <w:rPr>
          <w:rFonts w:hint="default" w:ascii="Times New Roman CYR" w:hAnsi="Times New Roman CYR" w:eastAsia="Times New Roman CYR"/>
          <w:sz w:val="24"/>
          <w:szCs w:val="24"/>
        </w:rPr>
      </w:pPr>
    </w:p>
    <w:p w14:paraId="2BE78685">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Зміст</w:t>
      </w:r>
    </w:p>
    <w:p w14:paraId="2B63AF1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до річного звіту</w:t>
      </w:r>
    </w:p>
    <w:p w14:paraId="2B418D3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 Загальна інформація</w:t>
      </w:r>
    </w:p>
    <w:p w14:paraId="09F8C38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Ідентифікаційні дані та загальна інформація</w:t>
      </w:r>
    </w:p>
    <w:p w14:paraId="06C1DF9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Органи управління та посадові особи. Організаційна структура</w:t>
      </w:r>
    </w:p>
    <w:p w14:paraId="2E8D6AB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Структура власності</w:t>
      </w:r>
    </w:p>
    <w:p w14:paraId="6ECBEEA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господарської та фінансової діяльності</w:t>
      </w:r>
    </w:p>
    <w:p w14:paraId="4221219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 Інформація щодо капіталу та цінних паперів</w:t>
      </w:r>
    </w:p>
    <w:p w14:paraId="6556223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Структура капіталу</w:t>
      </w:r>
    </w:p>
    <w:p w14:paraId="5CADD71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Цінні папери</w:t>
      </w:r>
    </w:p>
    <w:p w14:paraId="704EFEB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III. Фінансова інформація</w:t>
      </w:r>
    </w:p>
    <w:p w14:paraId="0EAA961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Інформація про розмір доходу за видами діяльності особи</w:t>
      </w:r>
    </w:p>
    <w:p w14:paraId="2C44A1F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Твердження щодо річної інформації</w:t>
      </w:r>
    </w:p>
    <w:p w14:paraId="5855E92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IV. Нефінансова інформація</w:t>
      </w:r>
    </w:p>
    <w:p w14:paraId="2B3ADBB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керівництва (звіт про управління)</w:t>
      </w:r>
    </w:p>
    <w:p w14:paraId="3EAEFE2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про корпоративне управління</w:t>
      </w:r>
    </w:p>
    <w:p w14:paraId="67DE351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Перелік посилань на внутрішні документи особи, що розміщені на вебсайті особи</w:t>
      </w:r>
    </w:p>
    <w:p w14:paraId="21191FED">
      <w:pPr>
        <w:spacing w:beforeLines="0" w:afterLines="0"/>
        <w:jc w:val="left"/>
        <w:rPr>
          <w:rFonts w:hint="default" w:ascii="Times New Roman CYR" w:hAnsi="Times New Roman CYR" w:eastAsia="Times New Roman CYR"/>
          <w:sz w:val="24"/>
          <w:szCs w:val="24"/>
        </w:rPr>
      </w:pPr>
    </w:p>
    <w:p w14:paraId="5037FC4A">
      <w:pPr>
        <w:spacing w:beforeLines="0" w:afterLines="0"/>
        <w:jc w:val="left"/>
        <w:rPr>
          <w:rFonts w:hint="default" w:ascii="Times New Roman CYR" w:hAnsi="Times New Roman CYR" w:eastAsia="Times New Roman CYR"/>
          <w:sz w:val="24"/>
          <w:szCs w:val="24"/>
        </w:rPr>
        <w:sectPr>
          <w:pgSz w:w="12240" w:h="15840"/>
          <w:pgMar w:top="570" w:right="720" w:bottom="570" w:left="720" w:header="720" w:footer="720" w:gutter="0"/>
          <w:lnNumType w:countBy="0" w:distance="360"/>
          <w:cols w:space="720" w:num="1"/>
        </w:sectPr>
      </w:pPr>
    </w:p>
    <w:p w14:paraId="3BBF3DA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 Загальна інформація</w:t>
      </w:r>
    </w:p>
    <w:p w14:paraId="3D8E6FC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Ідентифікаційні дані та загальна інформація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2105C38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316D8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35C05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6CB7D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ПРИВАТНЕ АКЦIОНЕРНЕ ТОВАРИСТВО "СПМК-523"</w:t>
            </w:r>
          </w:p>
        </w:tc>
      </w:tr>
      <w:tr w14:paraId="7B3EA79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68AE3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77B17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Скорочене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75BC8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ПрАТ "СПМК-523"</w:t>
            </w:r>
          </w:p>
        </w:tc>
      </w:tr>
      <w:tr w14:paraId="262B700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07A41D">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B4D64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BC572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01354473</w:t>
            </w:r>
          </w:p>
        </w:tc>
      </w:tr>
      <w:tr w14:paraId="696B87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50122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6E3A1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Дата державної реєстрації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46F52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24.01.1997</w:t>
            </w:r>
          </w:p>
        </w:tc>
      </w:tr>
      <w:tr w14:paraId="047C66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4936A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60CC1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Місцезнаходження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55D13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04136, Україна, м.Київ, ПОДIЛЬСЬКИЙ р-н р-н, м.Київ, ВУЛ. МАРШАЛА ГРЕЧКА, 9Г</w:t>
            </w:r>
          </w:p>
        </w:tc>
      </w:tr>
      <w:tr w14:paraId="0D9E3D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39356B">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6E432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для листування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55C83F">
            <w:pPr>
              <w:spacing w:beforeLines="0" w:afterLines="0"/>
              <w:jc w:val="left"/>
              <w:rPr>
                <w:rFonts w:hint="default" w:ascii="Times New Roman CYR" w:hAnsi="Times New Roman CYR" w:eastAsia="Times New Roman CYR"/>
                <w:sz w:val="24"/>
                <w:szCs w:val="24"/>
              </w:rPr>
            </w:pPr>
          </w:p>
        </w:tc>
      </w:tr>
      <w:tr w14:paraId="6B54B96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E2FE5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6F6EE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яка розкриває інформацію</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4E3A9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Емітент</w:t>
            </w:r>
          </w:p>
          <w:p w14:paraId="58C8EA2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Особа, яка надає забезпечення</w:t>
            </w:r>
          </w:p>
        </w:tc>
      </w:tr>
      <w:tr w14:paraId="34D279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8A842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51343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має статус підприємства, що становить суспільний інтерес</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6FDB3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Так</w:t>
            </w:r>
          </w:p>
          <w:p w14:paraId="2AFD94E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Ні</w:t>
            </w:r>
          </w:p>
        </w:tc>
      </w:tr>
      <w:tr w14:paraId="7C185B3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64222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8B037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Категорія підприємства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AB539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Велике</w:t>
            </w:r>
          </w:p>
          <w:p w14:paraId="554D2F7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Середнє</w:t>
            </w:r>
          </w:p>
          <w:p w14:paraId="5B14393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Мале</w:t>
            </w:r>
          </w:p>
          <w:p w14:paraId="7572FEE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Мікро</w:t>
            </w:r>
          </w:p>
        </w:tc>
      </w:tr>
      <w:tr w14:paraId="771801C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596B1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948DA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електронної пошти для офіційного каналу зв'язку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381A1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spmk523@emitents.net.ua</w:t>
            </w:r>
          </w:p>
        </w:tc>
      </w:tr>
      <w:tr w14:paraId="2F02739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45AC7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9C0F6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вебсайту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3C4A4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w:t>
            </w:r>
          </w:p>
        </w:tc>
      </w:tr>
      <w:tr w14:paraId="10AD37A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CED72D">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46749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Номер телефону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148F8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0444436997</w:t>
            </w:r>
          </w:p>
        </w:tc>
      </w:tr>
      <w:tr w14:paraId="719BCB7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C0A72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5C5F9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Статутний капітал, грн</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DB5C3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42899</w:t>
            </w:r>
          </w:p>
        </w:tc>
      </w:tr>
      <w:tr w14:paraId="65B7738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B9A4DB">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AB0FF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(часток/паїв) у статутному капіталі, що належить державі</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92CD0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52FABB7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01E0F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693D3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3EAF09">
            <w:pPr>
              <w:spacing w:beforeLines="0" w:afterLines="0"/>
              <w:jc w:val="left"/>
              <w:rPr>
                <w:rFonts w:hint="default" w:ascii="Times New Roman CYR" w:hAnsi="Times New Roman CYR" w:eastAsia="Times New Roman CYR"/>
                <w:sz w:val="24"/>
                <w:szCs w:val="24"/>
              </w:rPr>
            </w:pPr>
          </w:p>
        </w:tc>
      </w:tr>
      <w:tr w14:paraId="1E15502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86FE2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6C649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Середня кількість працівників за звітний період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04F96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r>
      <w:tr w14:paraId="725254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38F6DD">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FB934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61FF8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w:t>
            </w:r>
          </w:p>
        </w:tc>
      </w:tr>
      <w:tr w14:paraId="4A0D99F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0B3ED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DA860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Основні види діяльності із зазначенням їх найменування та коду за КВЕД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99941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68.20 - Надання в оренду й експлуатацiю власного чи орендованого нерухомого майна</w:t>
            </w:r>
          </w:p>
          <w:p w14:paraId="23B7356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52.24 - Транспортне оброблення вантажiв</w:t>
            </w:r>
          </w:p>
          <w:p w14:paraId="5E874F1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43.22 - Монтаж водопровiдних мереж, систем опалення та кондицiонування</w:t>
            </w:r>
          </w:p>
        </w:tc>
      </w:tr>
      <w:tr w14:paraId="00B22B5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7781CD">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4EBB5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Структура управління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E34A0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Однорівнева</w:t>
            </w:r>
          </w:p>
          <w:p w14:paraId="4D96FDA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Дворівнева</w:t>
            </w:r>
          </w:p>
          <w:p w14:paraId="3100F84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Інше</w:t>
            </w:r>
          </w:p>
        </w:tc>
      </w:tr>
    </w:tbl>
    <w:p w14:paraId="4CFAA690">
      <w:pPr>
        <w:spacing w:beforeLines="0" w:afterLines="0"/>
        <w:jc w:val="left"/>
        <w:rPr>
          <w:rFonts w:hint="default" w:ascii="Times New Roman CYR" w:hAnsi="Times New Roman CYR" w:eastAsia="Times New Roman CYR"/>
          <w:sz w:val="24"/>
          <w:szCs w:val="24"/>
        </w:rPr>
      </w:pPr>
    </w:p>
    <w:p w14:paraId="22A9679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Банки, що обслуговують особу: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791F0C9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A8EB4B">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E79EE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 (в т.ч. філії, відділення банку)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BA918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АКЦIОНЕРНЕ ТОВАРИСТВО "ПЕРШИЙ УКРАЇНСЬКИЙ МIЖНАРОДНИЙ БАНК"</w:t>
            </w:r>
          </w:p>
        </w:tc>
      </w:tr>
      <w:tr w14:paraId="4CAC340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9E8D19">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33A30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3EAAB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14282829</w:t>
            </w:r>
          </w:p>
        </w:tc>
      </w:tr>
      <w:tr w14:paraId="457370E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61E369">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59C75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IBAN</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838E0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UA143348510000000026002336204</w:t>
            </w:r>
          </w:p>
        </w:tc>
      </w:tr>
      <w:tr w14:paraId="2F3B26B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099408">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A38EE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Валюта рахунку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340B5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гривня</w:t>
            </w:r>
          </w:p>
        </w:tc>
      </w:tr>
    </w:tbl>
    <w:p w14:paraId="59DDCECE">
      <w:pPr>
        <w:spacing w:beforeLines="0" w:afterLines="0"/>
        <w:jc w:val="left"/>
        <w:rPr>
          <w:rFonts w:hint="default" w:ascii="Times New Roman CYR" w:hAnsi="Times New Roman CYR" w:eastAsia="Times New Roman CYR"/>
          <w:sz w:val="24"/>
          <w:szCs w:val="24"/>
        </w:rPr>
      </w:pPr>
    </w:p>
    <w:p w14:paraId="56D77C8A">
      <w:pPr>
        <w:spacing w:beforeLines="0" w:afterLines="0"/>
        <w:jc w:val="left"/>
        <w:rPr>
          <w:rFonts w:hint="default" w:ascii="Times New Roman CYR" w:hAnsi="Times New Roman CYR" w:eastAsia="Times New Roman CYR"/>
          <w:sz w:val="24"/>
          <w:szCs w:val="24"/>
        </w:rPr>
        <w:sectPr>
          <w:pgSz w:w="12240" w:h="15840"/>
          <w:pgMar w:top="570" w:right="720" w:bottom="570" w:left="720" w:header="720" w:footer="720" w:gutter="0"/>
          <w:lnNumType w:countBy="0" w:distance="360"/>
          <w:cols w:space="720" w:num="1"/>
        </w:sectPr>
      </w:pPr>
    </w:p>
    <w:p w14:paraId="7D5411B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Судові справи: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200"/>
        <w:gridCol w:w="2200"/>
        <w:gridCol w:w="2200"/>
        <w:gridCol w:w="2200"/>
        <w:gridCol w:w="2200"/>
        <w:gridCol w:w="2200"/>
        <w:gridCol w:w="1650"/>
      </w:tblGrid>
      <w:tr w14:paraId="27D4A7A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F5463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AD053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Номер справи та дата відкриття провадження</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BDC4B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Найменування суду</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755FC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Позивач</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455D4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Відповідач</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5EA0C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Третя особа</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9FEF5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Позовні вимоги (в т.ч. їх розмір)</w:t>
            </w: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D27F5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Стан розгляду справи</w:t>
            </w:r>
          </w:p>
        </w:tc>
      </w:tr>
      <w:tr w14:paraId="6B9DF65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BA56B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4252D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34167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92F15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C2C42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91ED7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17343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7B382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r>
      <w:tr w14:paraId="5F6FB47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70D1D18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62C0E77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826/6476/15</w:t>
            </w:r>
          </w:p>
          <w:p w14:paraId="79C1E44C">
            <w:pPr>
              <w:spacing w:beforeLines="0" w:afterLines="0"/>
              <w:jc w:val="center"/>
              <w:rPr>
                <w:rFonts w:hint="default" w:ascii="Times New Roman CYR" w:hAnsi="Times New Roman CYR" w:eastAsia="Times New Roman CYR"/>
                <w:sz w:val="20"/>
                <w:szCs w:val="24"/>
              </w:rPr>
            </w:pP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79580A5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Окружний адмiнiстративний суд мiста Києва</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6CAFA93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Центральний територiальний департамент НКЦПФР</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6FEAD06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ВАТ "СПМК-523"</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41D32B92">
            <w:pPr>
              <w:spacing w:beforeLines="0" w:afterLines="0"/>
              <w:jc w:val="center"/>
              <w:rPr>
                <w:rFonts w:hint="default" w:ascii="Times New Roman CYR" w:hAnsi="Times New Roman CYR" w:eastAsia="Times New Roman CYR"/>
                <w:sz w:val="20"/>
                <w:szCs w:val="24"/>
              </w:rPr>
            </w:pP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4B46CE6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Стягнути з вiдповiдача штрафнi санкцiї у розмiрi 85 000,00 грн.</w:t>
            </w: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top"/>
          </w:tcPr>
          <w:p w14:paraId="798EA50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Постанова</w:t>
            </w:r>
          </w:p>
        </w:tc>
      </w:tr>
    </w:tbl>
    <w:p w14:paraId="30ED263F">
      <w:pPr>
        <w:spacing w:beforeLines="0" w:afterLines="0"/>
        <w:jc w:val="left"/>
        <w:rPr>
          <w:rFonts w:hint="default" w:ascii="Times New Roman CYR" w:hAnsi="Times New Roman CYR" w:eastAsia="Times New Roman CYR"/>
          <w:sz w:val="20"/>
          <w:szCs w:val="24"/>
        </w:rPr>
      </w:pPr>
    </w:p>
    <w:p w14:paraId="5D2D1E3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Штрафні санкції щодо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200"/>
        <w:gridCol w:w="2200"/>
        <w:gridCol w:w="2200"/>
        <w:gridCol w:w="4400"/>
        <w:gridCol w:w="3850"/>
      </w:tblGrid>
      <w:tr w14:paraId="1748F8F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15793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FE8FA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Номер та дата рішення, яким накладено штрафну санкцію</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B19F7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Орган, який наклав штрафну санкцію</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805E5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Суть санкції (та її розмір, якщо застосовується)</w:t>
            </w:r>
          </w:p>
        </w:tc>
        <w:tc>
          <w:tcPr>
            <w:tcW w:w="4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D6F18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Підстава для накладення санкції (з посиланням на відповідні норми законодавства)</w:t>
            </w:r>
          </w:p>
        </w:tc>
        <w:tc>
          <w:tcPr>
            <w:tcW w:w="3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41613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Інформація про виконання</w:t>
            </w:r>
          </w:p>
        </w:tc>
      </w:tr>
      <w:tr w14:paraId="4209B9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59A20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5E9D9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91A23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CC1F7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4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B30CD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3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85F7D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r>
      <w:tr w14:paraId="48BF653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0C491A9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50EC39E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№71-ЦД-1-Е</w:t>
            </w:r>
          </w:p>
          <w:p w14:paraId="6BCCC6C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04.02.2015</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29EF051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Нацiональна комiсiя з цiнних паперiв та фондового ринку</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66BA576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Штраф за невиконання розпорядження про усунення порушень законодавства про цiннi папери у розмiрi 85000 грн.</w:t>
            </w:r>
          </w:p>
        </w:tc>
        <w:tc>
          <w:tcPr>
            <w:tcW w:w="4400" w:type="dxa"/>
            <w:tcBorders>
              <w:top w:val="single" w:color="auto" w:sz="6" w:space="0"/>
              <w:left w:val="single" w:color="auto" w:sz="6" w:space="0"/>
              <w:bottom w:val="single" w:color="auto" w:sz="6" w:space="0"/>
              <w:right w:val="single" w:color="auto" w:sz="6" w:space="0"/>
              <w:tl2br w:val="nil"/>
              <w:tr2bl w:val="nil"/>
            </w:tcBorders>
            <w:noWrap w:val="0"/>
            <w:vAlign w:val="top"/>
          </w:tcPr>
          <w:p w14:paraId="3448404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Невиконання розпорядження про усунення порушень законодавства про цiннi папери</w:t>
            </w:r>
          </w:p>
        </w:tc>
        <w:tc>
          <w:tcPr>
            <w:tcW w:w="3850" w:type="dxa"/>
            <w:tcBorders>
              <w:top w:val="single" w:color="auto" w:sz="6" w:space="0"/>
              <w:left w:val="single" w:color="auto" w:sz="6" w:space="0"/>
              <w:bottom w:val="single" w:color="auto" w:sz="6" w:space="0"/>
              <w:right w:val="single" w:color="auto" w:sz="6" w:space="0"/>
              <w:tl2br w:val="nil"/>
              <w:tr2bl w:val="nil"/>
            </w:tcBorders>
            <w:noWrap w:val="0"/>
            <w:vAlign w:val="top"/>
          </w:tcPr>
          <w:p w14:paraId="51B5BCB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xml:space="preserve">Оскiльки суму штрафних санкцiй Товариство не сплатило, прокурор в особi позивача звернувся до Окружного адмiнiстративного суду мiста Києва з адмiнiстративним позовом до Вiдкритого акцiонерного товариства "СПМК-523", в якому просить стягнути з вiдповiдача штрафнi санкцiї у розмiрi 85 000,00 грн. </w:t>
            </w:r>
          </w:p>
        </w:tc>
      </w:tr>
    </w:tbl>
    <w:p w14:paraId="6AC689F2">
      <w:pPr>
        <w:spacing w:beforeLines="0" w:afterLines="0"/>
        <w:jc w:val="left"/>
        <w:rPr>
          <w:rFonts w:hint="default" w:ascii="Times New Roman CYR" w:hAnsi="Times New Roman CYR" w:eastAsia="Times New Roman CYR"/>
          <w:sz w:val="20"/>
          <w:szCs w:val="24"/>
        </w:rPr>
      </w:pPr>
    </w:p>
    <w:p w14:paraId="10C27167">
      <w:pPr>
        <w:spacing w:beforeLines="0" w:afterLines="0"/>
        <w:jc w:val="left"/>
        <w:rPr>
          <w:rFonts w:hint="default" w:ascii="Times New Roman CYR" w:hAnsi="Times New Roman CYR" w:eastAsia="Times New Roman CYR"/>
          <w:sz w:val="20"/>
          <w:szCs w:val="24"/>
        </w:rPr>
        <w:sectPr>
          <w:pgSz w:w="16837" w:h="11905" w:orient="landscape"/>
          <w:pgMar w:top="570" w:right="720" w:bottom="570" w:left="720" w:header="720" w:footer="720" w:gutter="0"/>
          <w:lnNumType w:countBy="0" w:distance="360"/>
          <w:cols w:space="720" w:num="1"/>
        </w:sectPr>
      </w:pPr>
    </w:p>
    <w:p w14:paraId="048CF19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2. Органи управління та посадові особи. Організаційна структура</w:t>
      </w:r>
    </w:p>
    <w:p w14:paraId="63447F68">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Органи управління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1450"/>
        <w:gridCol w:w="4000"/>
        <w:gridCol w:w="4000"/>
      </w:tblGrid>
      <w:tr w14:paraId="61E39D6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8C9E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8C9A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41A7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Кількісний склад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49D5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Персональний склад органу управління (контролю)</w:t>
            </w:r>
          </w:p>
        </w:tc>
      </w:tr>
      <w:tr w14:paraId="558957F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DC9D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C7D8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2640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62D7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55D67E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6CB299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46FC22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Загальнi збори акцiонерiв</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0C9D5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6E8F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Згiдно з реєстром власникiв цiнних паперiв </w:t>
            </w:r>
          </w:p>
        </w:tc>
      </w:tr>
      <w:tr w14:paraId="7E8F103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54D4CE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68A6AA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Директор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9F966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10A60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r>
      <w:tr w14:paraId="03268A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1EF05C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3C1578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Наглядова рада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6179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33480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Роман Вiкторович - голова Наглядової ради;</w:t>
            </w:r>
          </w:p>
          <w:p w14:paraId="0DF0CB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Федоренко Iгор Валерiйович - член Наглядової ради;</w:t>
            </w:r>
          </w:p>
          <w:p w14:paraId="53D021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Бублiй Галина Пилипiвна - член Наглядової ради.</w:t>
            </w:r>
          </w:p>
        </w:tc>
      </w:tr>
    </w:tbl>
    <w:p w14:paraId="79F44106">
      <w:pPr>
        <w:spacing w:beforeLines="0" w:afterLines="0"/>
        <w:jc w:val="left"/>
        <w:rPr>
          <w:rFonts w:hint="default" w:ascii="Times New Roman CYR" w:hAnsi="Times New Roman CYR" w:eastAsia="Times New Roman CYR"/>
          <w:sz w:val="22"/>
          <w:szCs w:val="24"/>
        </w:rPr>
      </w:pPr>
    </w:p>
    <w:p w14:paraId="3512B2F1">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3431AE8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посадових осіб</w:t>
      </w:r>
    </w:p>
    <w:p w14:paraId="1D5E69F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Рада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3E3E16D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42C48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4F70C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8BFA2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87A0D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50EB1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C2FEC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BA919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0262C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422CE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60AB7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935C8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F890D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44FFF47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BE2A4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F428D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788F9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2B13F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22A51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F6251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42936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5516C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164F3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C7060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EA7B4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5D266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60A59B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27D0C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5F0D3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7C12C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Роман Вiкторович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2D7D62">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888E76">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4993F8">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BF296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54A6BE">
            <w:pPr>
              <w:spacing w:beforeLines="0" w:afterLines="0"/>
              <w:jc w:val="center"/>
              <w:rPr>
                <w:rFonts w:hint="default" w:ascii="Times New Roman CYR" w:hAnsi="Times New Roman CYR" w:eastAsia="Times New Roman CYR"/>
                <w:sz w:val="20"/>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35D3D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2CFAA93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7AC07AD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25669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2083779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3C488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0F0C8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r w14:paraId="53719C8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BA2FA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F7524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A5A65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Федоренко Iгор Валерiйович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8C63E1">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E6B6C7">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9E398C">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E80E1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3D27BD">
            <w:pPr>
              <w:spacing w:beforeLines="0" w:afterLines="0"/>
              <w:jc w:val="center"/>
              <w:rPr>
                <w:rFonts w:hint="default" w:ascii="Times New Roman CYR" w:hAnsi="Times New Roman CYR" w:eastAsia="Times New Roman CYR"/>
                <w:sz w:val="20"/>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172C1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456868E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511F4DC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056BB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0464D90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569F3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55E71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r w14:paraId="37A42B1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1BDEE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2E3BC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1629C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Бублiй Галина Пилипiвна</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264E49">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7410FA">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4A3F2B">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8D130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F1B2DB">
            <w:pPr>
              <w:spacing w:beforeLines="0" w:afterLines="0"/>
              <w:jc w:val="center"/>
              <w:rPr>
                <w:rFonts w:hint="default" w:ascii="Times New Roman CYR" w:hAnsi="Times New Roman CYR" w:eastAsia="Times New Roman CYR"/>
                <w:sz w:val="20"/>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9A264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1FF9CD4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70CA5F8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4D251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743B429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8C55D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21F40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ж</w:t>
            </w:r>
          </w:p>
        </w:tc>
      </w:tr>
    </w:tbl>
    <w:p w14:paraId="126BAB8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Виконавчий орган</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37FA4D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142E6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F6246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A62CA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9F151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7749B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3D0DA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F53AC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237F8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388E9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FF18B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54984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DC572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1F8F11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FD534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270B4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BF8E9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3F05E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E6F33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A239A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0C766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A3247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0C05F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1DA16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2A22F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DC03A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56B478F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B08B5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16889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AAE8B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Вiктор Михайлович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208469">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5E4CB3">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658F7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1961</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24832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 Київський iнженерно-будiвельний iнститут</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F281F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37</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28FBC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ВАТ "СПМК-523"</w:t>
            </w:r>
          </w:p>
          <w:p w14:paraId="4640EC8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01354473</w:t>
            </w:r>
          </w:p>
          <w:p w14:paraId="5EA6E33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4766D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58F92FB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безстроково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EBFBF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24341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bl>
    <w:p w14:paraId="48D6B228">
      <w:pPr>
        <w:spacing w:beforeLines="0" w:afterLines="0"/>
        <w:jc w:val="left"/>
        <w:rPr>
          <w:rFonts w:hint="default" w:ascii="Times New Roman CYR" w:hAnsi="Times New Roman CYR" w:eastAsia="Times New Roman CYR"/>
          <w:sz w:val="20"/>
          <w:szCs w:val="24"/>
        </w:rPr>
      </w:pPr>
    </w:p>
    <w:p w14:paraId="1C25465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володіння посадовими особами акціями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450"/>
        <w:gridCol w:w="2500"/>
        <w:gridCol w:w="1625"/>
        <w:gridCol w:w="1625"/>
        <w:gridCol w:w="1625"/>
        <w:gridCol w:w="1625"/>
        <w:gridCol w:w="1700"/>
        <w:gridCol w:w="1700"/>
      </w:tblGrid>
      <w:tr w14:paraId="2E1404E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C6FB94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4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02B020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5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692695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ED9D00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F0B8EB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498CF2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акцій, шт.</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622853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C6BD5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за типами акцій</w:t>
            </w:r>
          </w:p>
        </w:tc>
      </w:tr>
      <w:tr w14:paraId="57921C5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1CCEA69">
            <w:pPr>
              <w:spacing w:beforeLines="0" w:afterLines="0"/>
              <w:jc w:val="center"/>
              <w:rPr>
                <w:rFonts w:hint="default" w:ascii="Times New Roman CYR" w:hAnsi="Times New Roman CYR" w:eastAsia="Times New Roman CYR"/>
                <w:sz w:val="20"/>
                <w:szCs w:val="24"/>
              </w:rPr>
            </w:pPr>
          </w:p>
        </w:tc>
        <w:tc>
          <w:tcPr>
            <w:tcW w:w="24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25C664D">
            <w:pPr>
              <w:spacing w:beforeLines="0" w:afterLines="0"/>
              <w:jc w:val="center"/>
              <w:rPr>
                <w:rFonts w:hint="default" w:ascii="Times New Roman CYR" w:hAnsi="Times New Roman CYR" w:eastAsia="Times New Roman CYR"/>
                <w:sz w:val="20"/>
                <w:szCs w:val="24"/>
              </w:rPr>
            </w:pPr>
          </w:p>
        </w:tc>
        <w:tc>
          <w:tcPr>
            <w:tcW w:w="25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E50E688">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A13C16E">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7413169">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EEEECB3">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9617398">
            <w:pPr>
              <w:spacing w:beforeLines="0" w:afterLines="0"/>
              <w:jc w:val="center"/>
              <w:rPr>
                <w:rFonts w:hint="default" w:ascii="Times New Roman CYR" w:hAnsi="Times New Roman CYR" w:eastAsia="Times New Roman CYR"/>
                <w:sz w:val="20"/>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C726B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2924A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привілейовані іменні</w:t>
            </w:r>
          </w:p>
        </w:tc>
      </w:tr>
      <w:tr w14:paraId="3C1A37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26829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3278F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EF98E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C4971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2475F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1C2E2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C4FCF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195A8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C75CE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r>
      <w:tr w14:paraId="2892755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62922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E43E8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A34D1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Вiктор Михайлович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E85F7C">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7F7CD3">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5A964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148 929</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28F29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2E88E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7FE40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098465A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32073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D8918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5C873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Роман Вiкторович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B63067">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ECB65A">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283F5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3 471</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CF736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2,022774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D9D8A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3 471</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68C18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756723F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AAAAA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2BCB3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C3516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Федоренко Iгор Валерiйович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814D5C">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37F17E">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19F37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27886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847EB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437C9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12284F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C1868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4D3BB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E67CA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Бублiй Галина Пилипiвна</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416B8D">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B5CCA8">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8636B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BF767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AE946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13CE6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bl>
    <w:p w14:paraId="5D3D260F">
      <w:pPr>
        <w:spacing w:beforeLines="0" w:afterLines="0"/>
        <w:jc w:val="left"/>
        <w:rPr>
          <w:rFonts w:hint="default" w:ascii="Times New Roman CYR" w:hAnsi="Times New Roman CYR" w:eastAsia="Times New Roman CYR"/>
          <w:sz w:val="20"/>
          <w:szCs w:val="24"/>
        </w:rPr>
      </w:pPr>
    </w:p>
    <w:p w14:paraId="37B7DAA1">
      <w:pPr>
        <w:spacing w:beforeLines="0" w:afterLines="0"/>
        <w:jc w:val="left"/>
        <w:rPr>
          <w:rFonts w:hint="default" w:ascii="Times New Roman CYR" w:hAnsi="Times New Roman CYR" w:eastAsia="Times New Roman CYR"/>
          <w:sz w:val="20"/>
          <w:szCs w:val="24"/>
        </w:rPr>
        <w:sectPr>
          <w:pgSz w:w="16837" w:h="11905" w:orient="landscape"/>
          <w:pgMar w:top="570" w:right="720" w:bottom="570" w:left="720" w:header="720" w:footer="720" w:gutter="0"/>
          <w:lnNumType w:countBy="0" w:distance="360"/>
          <w:cols w:space="720" w:num="1"/>
        </w:sectPr>
      </w:pPr>
    </w:p>
    <w:p w14:paraId="13D9E21B">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Організаційна структура</w:t>
      </w:r>
    </w:p>
    <w:p w14:paraId="72D490F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http://spmk523.emitents.net.ua/ua/docs/?fg_id=102</w:t>
      </w:r>
    </w:p>
    <w:p w14:paraId="15A01429">
      <w:pPr>
        <w:spacing w:beforeLines="0" w:afterLines="0"/>
        <w:jc w:val="left"/>
        <w:rPr>
          <w:rFonts w:hint="default" w:ascii="Times New Roman CYR" w:hAnsi="Times New Roman CYR" w:eastAsia="Times New Roman CYR"/>
          <w:sz w:val="24"/>
          <w:szCs w:val="24"/>
        </w:rPr>
      </w:pPr>
    </w:p>
    <w:p w14:paraId="61189CDE">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3. Структура власності</w:t>
      </w:r>
    </w:p>
    <w:p w14:paraId="3FD6606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http://spmk523.emitents.net.ua/ua/docs/?fg_id=102</w:t>
      </w:r>
    </w:p>
    <w:p w14:paraId="07E91D56">
      <w:pPr>
        <w:spacing w:beforeLines="0" w:afterLines="0"/>
        <w:jc w:val="left"/>
        <w:rPr>
          <w:rFonts w:hint="default" w:ascii="Times New Roman CYR" w:hAnsi="Times New Roman CYR" w:eastAsia="Times New Roman CYR"/>
          <w:sz w:val="24"/>
          <w:szCs w:val="24"/>
        </w:rPr>
      </w:pPr>
    </w:p>
    <w:p w14:paraId="6CBA1F12">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Опис господарської та фінансової діяльності</w:t>
      </w:r>
    </w:p>
    <w:p w14:paraId="05B5E5C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14:paraId="41525AC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належить до будь-яких об'єднань пiдприємств.</w:t>
      </w:r>
    </w:p>
    <w:p w14:paraId="3CE1E99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w:t>
      </w:r>
    </w:p>
    <w:p w14:paraId="4641C54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Емiтент не проводить спiльної дiяльностi з iншими органiзацiями, пiдприємствами, установами.</w:t>
      </w:r>
    </w:p>
    <w:p w14:paraId="3AB2F84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3. 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14:paraId="3B32B9F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Метод нарахування амортизацiї основних засобiв та нематерiальних активiв - прямолiнiйний. Метод оцiнки вартостi запасiв - прямолiнiйний. Метод облiку та оцiнки вартостi фiнансових iнвестицiй-фiнансовi iнвестицiї вiдсутнi. Резерву сумнiвних боргiв немає. Резерву вiдпусток немає.</w:t>
      </w:r>
    </w:p>
    <w:p w14:paraId="3CA5091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2D2CCD7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Товариства фiнансується за рахунок власних коштiв та отриманого прибутку вiд господарської дiяльностi. Можливе покращення лiквiдностi за рахунок зменшення витрат.</w:t>
      </w:r>
    </w:p>
    <w:p w14:paraId="4E2D815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Опис полiтики щодо дослiджень та розробок, сума витрат на дослiдження та розробку за звiтний рiк.</w:t>
      </w:r>
    </w:p>
    <w:p w14:paraId="2732C21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Дослiджень та розробок в звiтному перiодi не було.</w:t>
      </w:r>
    </w:p>
    <w:p w14:paraId="2B9F9A3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 Iнформацiя щодо продуктiв (товарiв або послуг) особи:</w:t>
      </w:r>
    </w:p>
    <w:p w14:paraId="2FE91B1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опис продуктiв (товарiв та/або послуг), якi виробляє / надає особа.</w:t>
      </w:r>
    </w:p>
    <w:p w14:paraId="3903B37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Основним видом дiяльностi у звiтному роцi є надання в оренду й експлуатацiю власного чи орендованого нерухомого майна, КВЕД- 68.20. Товариство не займається виробництвом.</w:t>
      </w:r>
    </w:p>
    <w:p w14:paraId="68B8E3C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2)обсяги виробництва (у натуральному та грошовому виразi).</w:t>
      </w:r>
    </w:p>
    <w:p w14:paraId="67C62AE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займається виробництвом.</w:t>
      </w:r>
    </w:p>
    <w:p w14:paraId="5D88222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3)середньореалiзацiйнi цiни продуктiв.</w:t>
      </w:r>
    </w:p>
    <w:p w14:paraId="3C2985C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займається виробництвом.</w:t>
      </w:r>
    </w:p>
    <w:p w14:paraId="79BD808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4)загальна сума виручки.</w:t>
      </w:r>
    </w:p>
    <w:p w14:paraId="654D308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Чистi доходи за звiтний рiк склали 64,4 тис.грн.</w:t>
      </w:r>
    </w:p>
    <w:p w14:paraId="387F0F1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5)загальна сума експорту, частка експорту в загальному обсязi продажiв.</w:t>
      </w:r>
    </w:p>
    <w:p w14:paraId="6B13939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здiйснює експортних операцiй.</w:t>
      </w:r>
    </w:p>
    <w:p w14:paraId="33504F5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6)залежнiсть вiд сезонних змiн.</w:t>
      </w:r>
    </w:p>
    <w:p w14:paraId="62CC4EC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Товариства не залежить вiд сезонних змiн.</w:t>
      </w:r>
    </w:p>
    <w:p w14:paraId="0AC1488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7)основнi клiєнти (бiльше 5 % у загальнiй сумi виручки).</w:t>
      </w:r>
    </w:p>
    <w:p w14:paraId="1676F1F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Основними клiєнтами є пiдприємства, органiзацiї, фiзичнi особи-пiдприємцi, якi орендують примiщення для своєї дiяльностi на пiдставi довгострокових договорiв оренди.</w:t>
      </w:r>
    </w:p>
    <w:p w14:paraId="2994DDC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ринки збуту та країни, в яких особою здiйснюється дiяльнiсть.</w:t>
      </w:r>
    </w:p>
    <w:p w14:paraId="2C31FA9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здiйснює свою дiяльнiсть виключно на територiї України в мiстi Києвi. Основним ринком збуту, з урахуванням основного виду дiяльностi, є нерухомiсть, яка здається в оренду пiдприємствам, органiзацiям, фiзичним особам-пiдприємцям, якi орендують примiщення для своєї дiяльностi на пiдставi довгострокових договорiв оренди.</w:t>
      </w:r>
    </w:p>
    <w:p w14:paraId="602CFBA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9)канали збуту.</w:t>
      </w:r>
    </w:p>
    <w:p w14:paraId="5735EC6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Надання послуг здiйснюється на пiдставi цивiльно-правових договорiв з iснуючими контрагентами та шляхом залучення нових клiєнтiв.</w:t>
      </w:r>
    </w:p>
    <w:p w14:paraId="1F547F8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09F7DE0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Технiчнi служби, сервiснi компанiї здiйснюють поточне обслуговування систем, iнженерних мереж, ремонтнi роботи, клiнiнг тощо. </w:t>
      </w:r>
    </w:p>
    <w:p w14:paraId="730AE67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Комунальнi постачальники: </w:t>
      </w:r>
    </w:p>
    <w:p w14:paraId="7DE16A9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ДТЕК Київськi електромережi (постачання електроенергiї), Україна; </w:t>
      </w:r>
    </w:p>
    <w:p w14:paraId="0FC9F98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Київводоканал (водопостачання та водовiдведення), Україна.</w:t>
      </w:r>
    </w:p>
    <w:p w14:paraId="591CD73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11)особливостi стану розвитку галузi, в якiй здiйснює дiяльнiсть особа.</w:t>
      </w:r>
    </w:p>
    <w:p w14:paraId="546800A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Розвиток галузi нерухомостi залежить вiд економiчної ситуацiї в країнi. На розвиток галузi, в якiй Товариство здiйснює дiяльнiсть здебiльшого негативно впливають наступнi фактори: економiчна нестабiльнiсть, зниження iнвестицiйної активностi, зменшення платоспроможностi клiєнтiв, зменшення попиту, коливання курсу валют, збiльшення податкового навантаження.</w:t>
      </w:r>
    </w:p>
    <w:p w14:paraId="69290C1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12)опис технологiй, якi використовує особа у своїй дiяльностi.</w:t>
      </w:r>
    </w:p>
    <w:p w14:paraId="02C1D0E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у своїй дiяльностi не використовує технологiй.</w:t>
      </w:r>
    </w:p>
    <w:p w14:paraId="608779F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13)мiсце особи на ринку, на якому вона здiйснює дiяльнiсть.</w:t>
      </w:r>
    </w:p>
    <w:p w14:paraId="6375BE1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посiдає значне мiсце на ринку нерухомостi України та має статус мiкро-пiдприємства.</w:t>
      </w:r>
    </w:p>
    <w:p w14:paraId="68D40DB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14)рiвень конкуренцiя в галузi, основнi конкуренти особи.</w:t>
      </w:r>
    </w:p>
    <w:p w14:paraId="5F9600C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Загальний рiвень конкуренцiї в галузi високий. Основнi конкуренти Товариству не вiдомi.</w:t>
      </w:r>
    </w:p>
    <w:p w14:paraId="46DB7D0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15)перспективнi плани розвитку особи.</w:t>
      </w:r>
    </w:p>
    <w:p w14:paraId="4270BE9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Перспективнi плани розвитку Товариство не має.</w:t>
      </w:r>
    </w:p>
    <w:p w14:paraId="3C23947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40CD518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є фiнансовою установою.</w:t>
      </w:r>
    </w:p>
    <w:p w14:paraId="5CC3E7D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Опис ризикiв, якi притаманнi дiяльностi особи, пiдходи до управлiння ризиками, заходи особи щодо зменшення впливу ризикiв.</w:t>
      </w:r>
    </w:p>
    <w:p w14:paraId="54AE555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Суттєвим є ризик збiльшення податкового навантаження, збiльшення витрат на утримання об'єктiв нерухомого майна. Пiдходiв до управлiння ризиками Товариство не має.</w:t>
      </w:r>
    </w:p>
    <w:p w14:paraId="2F9100B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71814AF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Стратегiя подальшої дiяльностi Товариства вiдсутня.</w:t>
      </w:r>
    </w:p>
    <w:p w14:paraId="30B15C0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2339866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Придбання або вiдчуження активiв за останнi п'ять рокiв не здiйснювались. Iнвестицiї та придбання не плануються.</w:t>
      </w:r>
    </w:p>
    <w:p w14:paraId="3048CA6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1EAF4A7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Первiсна вартiсть основних засобiв Товариства на кiнець звiтного перiоду складає 215,5 тис.грн. Основнi засоби знаходяться в мiстi Києвi за адресою: вул. Маршала Гречка, 9-Г. Орендованих основних засобiв немає. Значних правочинiв щодо основних засобiв в звiтному перiодi не було. Активи перебувають на балансi Товариства. Витрати на утримання покриваються за рахунок доходiв вiд оренди. Виробничi потужностi вiдсутнi, тому ступiнь використання обладнання не визначається. Основна дiяльнiсть Товариства не пов'язана з прямим впливом на довкiлля. Екологiчне навантаження формується переважно через споживання електроенергiї, водопостачання та водовiдведення, управлiння вiдходами. Екологiчнi питання, що можуть позначитися на використаннi активiв пiдприємства, вiдсутнi. Планiв щодо капiтального будiвництва, розширення або вдосконалення основних засобiв немає. </w:t>
      </w:r>
    </w:p>
    <w:p w14:paraId="79A8CED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7388E19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Проблеми, якi впливають на дiяльнiсть Товариства: нестабiльна ситуацiя на ринку нерухомостi, зростання податкового навантаження, змiни в чинному законодавствi України, висока конкуренцiя на ринку нерухомого майна. Ступiнь залежностi вiд законодавчих та економiчних обмежень - суттєвий.</w:t>
      </w:r>
    </w:p>
    <w:p w14:paraId="318FD52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5DDC0D0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Укладенi, але ще не виконанi договори (контракти) на кiнець звiтного перiоду вiдсутнi.</w:t>
      </w:r>
    </w:p>
    <w:p w14:paraId="06B3531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5B8CC68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Середньооблiкова чисельнiсть штатних працiвникiв - 1 особа. Позаштатних працiвникiв та осiб, якi працюють за сумiсництвом, працiвникiв, якi працюють на умовах неповного робочого часу (дня, тижня), немає. Розмiр фонду оплати працi за звiтний перiод 8 тис.грн., що на 4,8 тис.грн. бiльше у порiвняннi з попереднiм роком.</w:t>
      </w:r>
    </w:p>
    <w:p w14:paraId="32BFE56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0DC9475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Пропозицiї щодо реорганiзацiї з боку третiх осiб протягом звiтного перiоду не надходили.</w:t>
      </w:r>
    </w:p>
    <w:p w14:paraId="7637B58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4A27760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Iнша iнформацiя, яка може бути iстотною для оцiнки стейкхолдерами фiнансового стану та результатiв дiяльностi Товариства, вiдсутня.</w:t>
      </w:r>
    </w:p>
    <w:p w14:paraId="2FEB8258">
      <w:pPr>
        <w:spacing w:beforeLines="0" w:afterLines="0"/>
        <w:jc w:val="left"/>
        <w:rPr>
          <w:rFonts w:hint="default" w:ascii="Times New Roman CYR" w:hAnsi="Times New Roman CYR" w:eastAsia="Times New Roman CYR"/>
          <w:sz w:val="24"/>
          <w:szCs w:val="24"/>
        </w:rPr>
      </w:pPr>
    </w:p>
    <w:p w14:paraId="5DD604F4">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основні засоби (за залишковою вартістю)</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58"/>
        <w:gridCol w:w="1260"/>
        <w:gridCol w:w="1080"/>
        <w:gridCol w:w="1260"/>
        <w:gridCol w:w="1080"/>
        <w:gridCol w:w="1260"/>
        <w:gridCol w:w="1082"/>
      </w:tblGrid>
      <w:tr w14:paraId="144E4B4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80B72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основних засобів</w:t>
            </w:r>
          </w:p>
        </w:tc>
        <w:tc>
          <w:tcPr>
            <w:tcW w:w="234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0BBA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Власні основні засоби, тис. грн</w:t>
            </w:r>
          </w:p>
        </w:tc>
        <w:tc>
          <w:tcPr>
            <w:tcW w:w="234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EAE87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Орендовані основні засоби, тис. грн</w:t>
            </w:r>
          </w:p>
        </w:tc>
        <w:tc>
          <w:tcPr>
            <w:tcW w:w="234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3908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засоби, усього, тис. грн</w:t>
            </w:r>
          </w:p>
        </w:tc>
      </w:tr>
      <w:tr w14:paraId="55EE96A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2F474B9">
            <w:pPr>
              <w:spacing w:beforeLines="0" w:afterLines="0"/>
              <w:jc w:val="center"/>
              <w:rPr>
                <w:rFonts w:hint="default" w:ascii="Times New Roman CYR" w:hAnsi="Times New Roman CYR" w:eastAsia="Times New Roman CYR"/>
                <w:sz w:val="22"/>
                <w:szCs w:val="24"/>
              </w:rPr>
            </w:pP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6888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періоду</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0B10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періоду</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EE4E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періоду</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5D17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періоду</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0D64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періоду</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D3A4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періоду</w:t>
            </w:r>
          </w:p>
        </w:tc>
      </w:tr>
      <w:tr w14:paraId="57F0BF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1D053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Виробничого призначення: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EB4E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5,9</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BE77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091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B5B7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1401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5,9</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4826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w:t>
            </w:r>
          </w:p>
        </w:tc>
      </w:tr>
      <w:tr w14:paraId="55A8302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05D1E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будівлі та споруди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E9BF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5,9</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7AE0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4153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C5A7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B4BC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5,9</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EBD5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w:t>
            </w:r>
          </w:p>
        </w:tc>
      </w:tr>
      <w:tr w14:paraId="78DD630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2FF21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машини та обладнання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046B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5684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A930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C40C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740A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F808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F06E75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C1762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транспортні засоби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17B1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2313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729F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1D62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1457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4C72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7603A4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6C8EF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земельні ділянки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6FD8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E506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6D92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15A8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BD1A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99D2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55458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52E59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інші</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E62B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A4A6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87C9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D5BD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8C83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916A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1653E8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EBDF9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Невиробничого призначення: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2609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C503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3B35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E890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20CF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AA3E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BA5A2D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748A5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будівлі та споруди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D8EA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25CB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3489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165A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A085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3300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9A4D10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B5C16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машини та обладнання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242E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3832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E27E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BA4D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C695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EC8F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28B2B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94E52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транспортні засоби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34E3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BA08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79C4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A53D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B627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C38A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981D6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87762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земельні ділянки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5E2E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5C44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975A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7654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2D09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C480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677DE7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D8ADA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інвестиційна нерухомість</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CA30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7ACA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313B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964D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307B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503F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DAFA09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7C640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інші</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EF75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87B7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BAAE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61AB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DAD7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B5F1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A9165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D7452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E1C2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5,9</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C89E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CC5C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9A9D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D7F1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5,9</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CDAD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w:t>
            </w:r>
          </w:p>
        </w:tc>
      </w:tr>
      <w:tr w14:paraId="18F1EF5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top"/>
          </w:tcPr>
          <w:p w14:paraId="7ACF0F8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7022"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3F6C6DD7">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Термiни та умови користування основними засобами (за основними групами):</w:t>
            </w:r>
          </w:p>
          <w:p w14:paraId="6F5D507F">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та споруди - 20 рокiв;</w:t>
            </w:r>
          </w:p>
          <w:p w14:paraId="0F4CDB58">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- 5 рокiв.</w:t>
            </w:r>
          </w:p>
          <w:p w14:paraId="212E51E1">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Первiсна вартiсть основних засобiв - 215,5 тис.грн.</w:t>
            </w:r>
          </w:p>
          <w:p w14:paraId="1349B2B6">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Сума нарахованого зносу - 214,3 тис.грн.</w:t>
            </w:r>
          </w:p>
          <w:p w14:paraId="707A5AB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Ступiнь зносу - 99,44 %.</w:t>
            </w:r>
          </w:p>
          <w:p w14:paraId="327841BC">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Ступiнь використання основних засобiв - 100%.</w:t>
            </w:r>
          </w:p>
          <w:p w14:paraId="41BA48D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Суттєвих змiн у вартостi основних засобiв не вiдбулося. Обмежень на використання майна немає.</w:t>
            </w:r>
          </w:p>
        </w:tc>
      </w:tr>
    </w:tbl>
    <w:p w14:paraId="5C623E55">
      <w:pPr>
        <w:spacing w:beforeLines="0" w:afterLines="0"/>
        <w:jc w:val="left"/>
        <w:rPr>
          <w:rFonts w:hint="default" w:ascii="Times New Roman CYR" w:hAnsi="Times New Roman CYR" w:eastAsia="Times New Roman CYR"/>
          <w:sz w:val="22"/>
          <w:szCs w:val="24"/>
        </w:rPr>
      </w:pPr>
    </w:p>
    <w:p w14:paraId="7D7FAD29">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щодо вартості чистих активів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60"/>
        <w:gridCol w:w="2740"/>
        <w:gridCol w:w="3000"/>
        <w:gridCol w:w="3000"/>
      </w:tblGrid>
      <w:tr w14:paraId="64CB241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11A2E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показника</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8F671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38CB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попередній період</w:t>
            </w:r>
          </w:p>
        </w:tc>
      </w:tr>
      <w:tr w14:paraId="63603C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38ABF9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Розрахункова вартість чистих активів,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74D37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-234,3</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42440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-236,1</w:t>
            </w:r>
          </w:p>
        </w:tc>
      </w:tr>
      <w:tr w14:paraId="47A6D5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4E594C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D290B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AE03F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4BF6EC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4B4307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Скоригований 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44C70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0859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0BF8D47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6AD1B0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B5B4F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-546,15</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9DA21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-550,35</w:t>
            </w:r>
          </w:p>
        </w:tc>
      </w:tr>
      <w:tr w14:paraId="270F47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E9F0DE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8C28F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99,24</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E2B23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134,34</w:t>
            </w:r>
          </w:p>
        </w:tc>
      </w:tr>
      <w:tr w14:paraId="7E67745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60" w:type="dxa"/>
            <w:tcBorders>
              <w:top w:val="single" w:color="auto" w:sz="6" w:space="0"/>
              <w:left w:val="single" w:color="auto" w:sz="6" w:space="0"/>
              <w:bottom w:val="single" w:color="auto" w:sz="6" w:space="0"/>
              <w:right w:val="single" w:color="auto" w:sz="6" w:space="0"/>
              <w:tl2br w:val="nil"/>
              <w:tr2bl w:val="nil"/>
            </w:tcBorders>
            <w:noWrap w:val="0"/>
            <w:vAlign w:val="top"/>
          </w:tcPr>
          <w:p w14:paraId="5065D4D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Висновок</w:t>
            </w:r>
          </w:p>
        </w:tc>
        <w:tc>
          <w:tcPr>
            <w:tcW w:w="874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4AA977E6">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Рiзниця мiж розрахунковою вартiстю чистих активiв i статутним капiталом на кiнець звiтного перiоду становить -277,2 тис.грн. Рiзниця мiж розрахунковою вартiстю чистих активiв та скоригованим статутним капiталом на кiнець звiтного перiоду становить -277,2 тис.грн. Рiзниця мiж розрахунковою вартiстю чистих активiв i статутним капiталом на кiнець попереднього перiоду становить -279 тис.грн. Рiзниця мiж розрахунковою вартiстю чистих активiв та скоригованим статутним капiталом на кiнець попереднього перiоду становить -279 тис.грн.</w:t>
            </w:r>
          </w:p>
          <w:p w14:paraId="46DAB7B9">
            <w:pPr>
              <w:spacing w:beforeLines="0" w:afterLines="0"/>
              <w:rPr>
                <w:rFonts w:hint="default" w:ascii="Times New Roman CYR" w:hAnsi="Times New Roman CYR" w:eastAsia="Times New Roman CYR"/>
                <w:sz w:val="22"/>
                <w:szCs w:val="24"/>
              </w:rPr>
            </w:pPr>
          </w:p>
          <w:p w14:paraId="1C1BB16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Вартiсть чистих активiв акцiонерного товариства менша вiд статутного капiталу (скоригованого). Вартiсть чистих активiв товариства менша вiд мiнiмального розмiру статутного капiталу, встановленого законом. </w:t>
            </w:r>
          </w:p>
        </w:tc>
      </w:tr>
    </w:tbl>
    <w:p w14:paraId="5B876444">
      <w:pPr>
        <w:spacing w:beforeLines="0" w:afterLines="0"/>
        <w:jc w:val="left"/>
        <w:rPr>
          <w:rFonts w:hint="default" w:ascii="Times New Roman CYR" w:hAnsi="Times New Roman CYR" w:eastAsia="Times New Roman CYR"/>
          <w:sz w:val="22"/>
          <w:szCs w:val="24"/>
        </w:rPr>
      </w:pPr>
    </w:p>
    <w:p w14:paraId="4F2ADB2F">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зобов'язання та забезпечення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780"/>
        <w:gridCol w:w="1440"/>
        <w:gridCol w:w="1480"/>
        <w:gridCol w:w="1940"/>
        <w:gridCol w:w="1328"/>
      </w:tblGrid>
      <w:tr w14:paraId="237B96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674E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Види зобов</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9513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виникнення</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3026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Непогашена частина боргу (тис. грн)</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BC28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Відсоток за користування коштами (відсоток річних)</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0B48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погашення</w:t>
            </w:r>
          </w:p>
        </w:tc>
      </w:tr>
      <w:tr w14:paraId="61EC965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CD560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Кредити банку</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ADD2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088B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5655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3C43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48784C6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745B6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774A3D8B">
            <w:pPr>
              <w:spacing w:beforeLines="0" w:afterLines="0"/>
              <w:jc w:val="center"/>
              <w:rPr>
                <w:rFonts w:hint="default" w:ascii="Times New Roman CYR" w:hAnsi="Times New Roman CYR" w:eastAsia="Times New Roman CYR"/>
                <w:sz w:val="22"/>
                <w:szCs w:val="24"/>
              </w:rPr>
            </w:pPr>
          </w:p>
        </w:tc>
      </w:tr>
      <w:tr w14:paraId="3605395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572CC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Зобовза цінними паперами</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15A1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1A55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29E3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3390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3BF9A4E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7F1E9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60BBD13F">
            <w:pPr>
              <w:spacing w:beforeLines="0" w:afterLines="0"/>
              <w:jc w:val="left"/>
              <w:rPr>
                <w:rFonts w:hint="default" w:ascii="Times New Roman CYR" w:hAnsi="Times New Roman CYR" w:eastAsia="Times New Roman CYR"/>
                <w:sz w:val="22"/>
                <w:szCs w:val="24"/>
              </w:rPr>
            </w:pPr>
          </w:p>
        </w:tc>
      </w:tr>
      <w:tr w14:paraId="3F0735D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E6623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облігаціями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95F3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EC10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ADEE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AB9D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004DF96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D39D0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іпотечними цінними паперами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4722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617D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F8DC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D9FE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22F868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42442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сертифікатами ФОН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1F05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AC78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409D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A0C0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6592C6F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EA8C6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векселями (всього):</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9547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1DAB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2B11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E657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4321B2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48343B8C">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51993740">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49FC20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6D2F0F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220F6235">
            <w:pPr>
              <w:spacing w:beforeLines="0" w:afterLines="0"/>
              <w:jc w:val="center"/>
              <w:rPr>
                <w:rFonts w:hint="default" w:ascii="Times New Roman CYR" w:hAnsi="Times New Roman CYR" w:eastAsia="Times New Roman CYR"/>
                <w:sz w:val="22"/>
                <w:szCs w:val="24"/>
              </w:rPr>
            </w:pPr>
          </w:p>
        </w:tc>
      </w:tr>
      <w:tr w14:paraId="0F26D8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DE37B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іншими цінними паперами (у тому числі за деривативами)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472D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6F0B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54AE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3535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2A99664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27ED8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фінансовими інвестиціями в корпоративні права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498E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71C3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20D8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AB0B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526520D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0102A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Податкові зобов'язання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A021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6709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185,6</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D4EA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66D7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539509B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373A33F8">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1EAD5DAF">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3A7053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7667B0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2FD8BE50">
            <w:pPr>
              <w:spacing w:beforeLines="0" w:afterLines="0"/>
              <w:jc w:val="center"/>
              <w:rPr>
                <w:rFonts w:hint="default" w:ascii="Times New Roman CYR" w:hAnsi="Times New Roman CYR" w:eastAsia="Times New Roman CYR"/>
                <w:sz w:val="22"/>
                <w:szCs w:val="24"/>
              </w:rPr>
            </w:pPr>
          </w:p>
        </w:tc>
      </w:tr>
      <w:tr w14:paraId="3425F13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B36B8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Фінансова допомога на зворотній основі</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41D9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E126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CA2B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1DC0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056017B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5C231DF5">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6079D7FB">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504FEA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44A122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542E85C5">
            <w:pPr>
              <w:spacing w:beforeLines="0" w:afterLines="0"/>
              <w:jc w:val="center"/>
              <w:rPr>
                <w:rFonts w:hint="default" w:ascii="Times New Roman CYR" w:hAnsi="Times New Roman CYR" w:eastAsia="Times New Roman CYR"/>
                <w:sz w:val="22"/>
                <w:szCs w:val="24"/>
              </w:rPr>
            </w:pPr>
          </w:p>
        </w:tc>
      </w:tr>
      <w:tr w14:paraId="3AEBE66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B6BC9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зобов'язання та забезпечення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3353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D0FB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140,3</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2ECC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4EFF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2770834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217F06E5">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408A045F">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7E9D66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7FBA83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6F0587EC">
            <w:pPr>
              <w:spacing w:beforeLines="0" w:afterLines="0"/>
              <w:jc w:val="center"/>
              <w:rPr>
                <w:rFonts w:hint="default" w:ascii="Times New Roman CYR" w:hAnsi="Times New Roman CYR" w:eastAsia="Times New Roman CYR"/>
                <w:sz w:val="22"/>
                <w:szCs w:val="24"/>
              </w:rPr>
            </w:pPr>
          </w:p>
        </w:tc>
      </w:tr>
      <w:tr w14:paraId="2340C3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A033F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зобов'язань та забезпечень</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C57D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AAA4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325,9</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D70C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BD1D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bl>
    <w:p w14:paraId="2081A7D9">
      <w:pPr>
        <w:spacing w:beforeLines="0" w:afterLines="0"/>
        <w:jc w:val="left"/>
        <w:rPr>
          <w:rFonts w:hint="default" w:ascii="Times New Roman CYR" w:hAnsi="Times New Roman CYR" w:eastAsia="Times New Roman CYR"/>
          <w:sz w:val="22"/>
          <w:szCs w:val="24"/>
        </w:rPr>
      </w:pPr>
    </w:p>
    <w:p w14:paraId="7C3D39C2">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осіб, послугами яких користується особа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37AFC95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311393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0705F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ПУБЛIЧНЕ АКЦIОНЕРНЕ ТОВАРИСТВО "НАЦIОНАЛЬНИЙ ДЕПОЗИТАРIЙ УКРАЇНИ"</w:t>
            </w:r>
          </w:p>
        </w:tc>
      </w:tr>
      <w:tr w14:paraId="30E998F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AA9DAC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C7063EB">
            <w:pPr>
              <w:spacing w:beforeLines="0" w:afterLines="0"/>
              <w:jc w:val="center"/>
              <w:rPr>
                <w:rFonts w:hint="default" w:ascii="Times New Roman CYR" w:hAnsi="Times New Roman CYR" w:eastAsia="Times New Roman CYR"/>
                <w:sz w:val="22"/>
                <w:szCs w:val="24"/>
              </w:rPr>
            </w:pPr>
          </w:p>
        </w:tc>
      </w:tr>
      <w:tr w14:paraId="3D23CC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E6432A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6321D1">
            <w:pPr>
              <w:spacing w:beforeLines="0" w:afterLines="0"/>
              <w:jc w:val="center"/>
              <w:rPr>
                <w:rFonts w:hint="default" w:ascii="Times New Roman CYR" w:hAnsi="Times New Roman CYR" w:eastAsia="Times New Roman CYR"/>
                <w:sz w:val="22"/>
                <w:szCs w:val="24"/>
              </w:rPr>
            </w:pPr>
          </w:p>
        </w:tc>
      </w:tr>
      <w:tr w14:paraId="22308C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F5443F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0FAA4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Акціонерне товариство</w:t>
            </w:r>
          </w:p>
        </w:tc>
      </w:tr>
      <w:tr w14:paraId="141C675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8A99A6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838C8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30370711</w:t>
            </w:r>
          </w:p>
        </w:tc>
      </w:tr>
      <w:tr w14:paraId="3FF169A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FA1DAD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048F3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04107, Україна, Київ, Якубенкiвська,7-г</w:t>
            </w:r>
          </w:p>
        </w:tc>
      </w:tr>
      <w:tr w14:paraId="71C7B68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3DED2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A3431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Рiшення № 2092</w:t>
            </w:r>
          </w:p>
        </w:tc>
      </w:tr>
      <w:tr w14:paraId="7180D3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0095B2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9E4E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134FCA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6B1702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0557FB6">
            <w:pPr>
              <w:spacing w:beforeLines="0" w:afterLines="0"/>
              <w:jc w:val="center"/>
              <w:rPr>
                <w:rFonts w:hint="default" w:ascii="Times New Roman CYR" w:hAnsi="Times New Roman CYR" w:eastAsia="Times New Roman CYR"/>
                <w:sz w:val="22"/>
                <w:szCs w:val="24"/>
              </w:rPr>
            </w:pPr>
          </w:p>
        </w:tc>
      </w:tr>
      <w:tr w14:paraId="6E1E74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6E823B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49B3A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363-04-00</w:t>
            </w:r>
          </w:p>
        </w:tc>
      </w:tr>
      <w:tr w14:paraId="3B7A712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91AC37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A20D5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028249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18.20 - Тиражування звуко-, вiдеозаписiв i програмного забезпечення</w:t>
            </w:r>
          </w:p>
          <w:p w14:paraId="5F09FF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62.01 - Комп'ютерне програмування</w:t>
            </w:r>
          </w:p>
        </w:tc>
      </w:tr>
      <w:tr w14:paraId="5119AD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99242D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9EFB6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Обслуговує випуск цiнних паперiв Товариства</w:t>
            </w:r>
          </w:p>
        </w:tc>
      </w:tr>
    </w:tbl>
    <w:p w14:paraId="0B4ABFFB">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13CFA8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EE53F7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78F43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установа "Агентство з розвитку iнфраструктури фондового ринку України"</w:t>
            </w:r>
          </w:p>
        </w:tc>
      </w:tr>
      <w:tr w14:paraId="643FF47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AF6100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25A5095">
            <w:pPr>
              <w:spacing w:beforeLines="0" w:afterLines="0"/>
              <w:jc w:val="center"/>
              <w:rPr>
                <w:rFonts w:hint="default" w:ascii="Times New Roman CYR" w:hAnsi="Times New Roman CYR" w:eastAsia="Times New Roman CYR"/>
                <w:sz w:val="22"/>
                <w:szCs w:val="24"/>
              </w:rPr>
            </w:pPr>
          </w:p>
        </w:tc>
      </w:tr>
      <w:tr w14:paraId="2E4BC37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6AD5AF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39201DD">
            <w:pPr>
              <w:spacing w:beforeLines="0" w:afterLines="0"/>
              <w:jc w:val="center"/>
              <w:rPr>
                <w:rFonts w:hint="default" w:ascii="Times New Roman CYR" w:hAnsi="Times New Roman CYR" w:eastAsia="Times New Roman CYR"/>
                <w:sz w:val="22"/>
                <w:szCs w:val="24"/>
              </w:rPr>
            </w:pPr>
          </w:p>
        </w:tc>
      </w:tr>
      <w:tr w14:paraId="27D8D09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1A3314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BE06F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організація (установа, заклад)</w:t>
            </w:r>
          </w:p>
        </w:tc>
      </w:tr>
      <w:tr w14:paraId="3CE28D2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CE3075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A16DA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21676262</w:t>
            </w:r>
          </w:p>
        </w:tc>
      </w:tr>
      <w:tr w14:paraId="084B3DB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1BCBA0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C286C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03150, Україна, Київ, вул. Антоновича,  51, офiс 1206</w:t>
            </w:r>
          </w:p>
        </w:tc>
      </w:tr>
      <w:tr w14:paraId="16251E7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785FE9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51B61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DR/00001/APA</w:t>
            </w:r>
          </w:p>
        </w:tc>
      </w:tr>
      <w:tr w14:paraId="61C31B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0A3ADC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C096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4850307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1A7E1E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7732EF2">
            <w:pPr>
              <w:spacing w:beforeLines="0" w:afterLines="0"/>
              <w:jc w:val="center"/>
              <w:rPr>
                <w:rFonts w:hint="default" w:ascii="Times New Roman CYR" w:hAnsi="Times New Roman CYR" w:eastAsia="Times New Roman CYR"/>
                <w:sz w:val="22"/>
                <w:szCs w:val="24"/>
              </w:rPr>
            </w:pPr>
          </w:p>
        </w:tc>
      </w:tr>
      <w:tr w14:paraId="2C4F008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7AD38C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263F1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28756-0</w:t>
            </w:r>
          </w:p>
        </w:tc>
      </w:tr>
      <w:tr w14:paraId="7189F72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CE2C3A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7CC9E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438A52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84.13 - Регулювання та сприяння ефективному веденню економiчної дiяльностi</w:t>
            </w:r>
          </w:p>
          <w:p w14:paraId="140869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62.02 - Консультування з питань iнформатизацiї</w:t>
            </w:r>
          </w:p>
        </w:tc>
      </w:tr>
      <w:tr w14:paraId="7D09AE3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8BCB8A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64D2B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Дiяльнiсть з оприлюднення регульованої iнформацiї вiд iменi учасникiв фондового ринку</w:t>
            </w:r>
          </w:p>
        </w:tc>
      </w:tr>
    </w:tbl>
    <w:p w14:paraId="5E83E8D7">
      <w:pPr>
        <w:spacing w:beforeLines="0" w:afterLines="0"/>
        <w:jc w:val="left"/>
        <w:rPr>
          <w:rFonts w:hint="default" w:ascii="Times New Roman CYR" w:hAnsi="Times New Roman CYR" w:eastAsia="Times New Roman CYR"/>
          <w:sz w:val="22"/>
          <w:szCs w:val="24"/>
        </w:rPr>
      </w:pPr>
    </w:p>
    <w:p w14:paraId="25099645">
      <w:pPr>
        <w:spacing w:beforeLines="0" w:afterLines="0"/>
        <w:jc w:val="left"/>
        <w:rPr>
          <w:rFonts w:hint="default" w:ascii="Times New Roman CYR" w:hAnsi="Times New Roman CYR" w:eastAsia="Times New Roman CYR"/>
          <w:sz w:val="22"/>
          <w:szCs w:val="24"/>
        </w:rPr>
      </w:pPr>
    </w:p>
    <w:p w14:paraId="244FDA53">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56159A5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II. Інформація щодо капіталу та цінних паперів</w:t>
      </w:r>
    </w:p>
    <w:p w14:paraId="66A1EF7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Структура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2000"/>
        <w:gridCol w:w="2000"/>
        <w:gridCol w:w="2000"/>
        <w:gridCol w:w="1900"/>
        <w:gridCol w:w="2000"/>
        <w:gridCol w:w="2000"/>
        <w:gridCol w:w="3000"/>
      </w:tblGrid>
      <w:tr w14:paraId="4EDD8E4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9027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493A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та/або клас акцій</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5EC6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E8B5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BBE4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8E6B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7BCF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Наявність публічної пропозиції та/або допуску до торгів на організованих ринках капіталу</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3E3A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Облік часток особи в обліковій системі часток</w:t>
            </w:r>
          </w:p>
        </w:tc>
      </w:tr>
      <w:tr w14:paraId="1FB77A2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B2ED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0486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15DB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45B9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3C59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A382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A953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7A6F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458206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27203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81283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Бездокументарна Iменнi</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E5565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7058A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top"/>
          </w:tcPr>
          <w:p w14:paraId="10C4B5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5D5CF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 зазначенi та регулюються чинним законодавством України, Статутом товаритства.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79DA5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Публiчної пропозицiї та/або допуску до торгiв на органiзованих ринках капiталу не було.</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6372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w:t>
            </w:r>
          </w:p>
        </w:tc>
      </w:tr>
    </w:tbl>
    <w:p w14:paraId="24260087">
      <w:pPr>
        <w:spacing w:beforeLines="0" w:afterLines="0"/>
        <w:jc w:val="left"/>
        <w:rPr>
          <w:rFonts w:hint="default" w:ascii="Times New Roman CYR" w:hAnsi="Times New Roman CYR" w:eastAsia="Times New Roman CYR"/>
          <w:sz w:val="22"/>
          <w:szCs w:val="24"/>
        </w:rPr>
      </w:pPr>
    </w:p>
    <w:p w14:paraId="13FB3C2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3. Цінні папери</w:t>
      </w:r>
    </w:p>
    <w:p w14:paraId="5D2EEA9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випуски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50"/>
        <w:gridCol w:w="1350"/>
        <w:gridCol w:w="2400"/>
        <w:gridCol w:w="1700"/>
        <w:gridCol w:w="1600"/>
        <w:gridCol w:w="1350"/>
        <w:gridCol w:w="1450"/>
        <w:gridCol w:w="1200"/>
        <w:gridCol w:w="1400"/>
        <w:gridCol w:w="1700"/>
      </w:tblGrid>
      <w:tr w14:paraId="2D95F34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5BCE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D6E9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7420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органу, що зареєстрував випуск</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F533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8FFD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цінного папера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E012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існування та форма випуску</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4A55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DE51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6991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531D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Частка у статутному капіталі (у відсотках)</w:t>
            </w:r>
          </w:p>
        </w:tc>
      </w:tr>
      <w:tr w14:paraId="68FC895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E7FE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8736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21D0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F1EF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8C0E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070C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AB1D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7EB1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D1FE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69E0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r>
      <w:tr w14:paraId="7DA5DC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FAD94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22.10.2010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21A728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3F75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комiсiя з цiнних паперiв та фондового ринку.</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5962A9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UA40001144540</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89E9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Акція проста бездокументарна іменна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4B40F2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Електронні іменні</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15839F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3E7D18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top"/>
          </w:tcPr>
          <w:p w14:paraId="454162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42 899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7B28C9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72C5E2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6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83663F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2800" w:type="dxa"/>
            <w:gridSpan w:val="8"/>
            <w:tcBorders>
              <w:top w:val="single" w:color="auto" w:sz="6" w:space="0"/>
              <w:left w:val="single" w:color="auto" w:sz="6" w:space="0"/>
              <w:bottom w:val="single" w:color="auto" w:sz="6" w:space="0"/>
              <w:right w:val="single" w:color="auto" w:sz="6" w:space="0"/>
              <w:tl2br w:val="nil"/>
              <w:tr2bl w:val="nil"/>
            </w:tcBorders>
            <w:noWrap w:val="0"/>
            <w:vAlign w:val="center"/>
          </w:tcPr>
          <w:p w14:paraId="63532B5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2010 роцi, на пiдставi рiшення Загальних зборiв акцiонерiв форма iснування акцiй змiнена на бездокументарну. Свiдоцтво про випуск акцiй у документарнiй формi, зареєстроване Державною комiсiєю з цiнних паперiв та фондового ринку 22.03.2004р. за № 144/1/04, втратило чиннiсть. 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Iншi цiннi папери, емiсiя яких пiдлягає реєстрацiї, крiм акцiй простих iменних, Товариством не випускались.</w:t>
            </w:r>
          </w:p>
        </w:tc>
      </w:tr>
    </w:tbl>
    <w:p w14:paraId="44B72CDE">
      <w:pPr>
        <w:spacing w:beforeLines="0" w:afterLines="0"/>
        <w:jc w:val="left"/>
        <w:rPr>
          <w:rFonts w:hint="default" w:ascii="Times New Roman CYR" w:hAnsi="Times New Roman CYR" w:eastAsia="Times New Roman CYR"/>
          <w:sz w:val="22"/>
          <w:szCs w:val="24"/>
        </w:rPr>
      </w:pPr>
    </w:p>
    <w:p w14:paraId="7257B42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наявність у власності працівників особи акцій у розмірі понад 0,1 % розміру статутного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4000"/>
        <w:gridCol w:w="2000"/>
        <w:gridCol w:w="2000"/>
        <w:gridCol w:w="2000"/>
        <w:gridCol w:w="2000"/>
        <w:gridCol w:w="1700"/>
        <w:gridCol w:w="1700"/>
      </w:tblGrid>
      <w:tr w14:paraId="687E25E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E977B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0557D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D3AE6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87228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338DC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48260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за типами акцій</w:t>
            </w:r>
          </w:p>
        </w:tc>
      </w:tr>
      <w:tr w14:paraId="264C06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24CEB91">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48D47F5">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0013A93">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866BCE1">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C5728AE">
            <w:pPr>
              <w:spacing w:beforeLines="0" w:afterLines="0"/>
              <w:jc w:val="center"/>
              <w:rPr>
                <w:rFonts w:hint="default" w:ascii="Times New Roman CYR" w:hAnsi="Times New Roman CYR" w:eastAsia="Times New Roman CYR"/>
                <w:sz w:val="22"/>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27CF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AD53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привілейовані іменні</w:t>
            </w:r>
          </w:p>
        </w:tc>
      </w:tr>
      <w:tr w14:paraId="022EBF5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92EA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A469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22DB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472F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722E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2323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5AF1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r>
      <w:tr w14:paraId="718F33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0A1F7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C91A70E">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CF8621E">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67570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04E08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3AD8FF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7876BE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E4F55F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F7A36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3D30B54">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DBB09CF">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31469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A9EE7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2A7782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29ED93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bl>
    <w:p w14:paraId="5FF435DB">
      <w:pPr>
        <w:spacing w:beforeLines="0" w:afterLines="0"/>
        <w:jc w:val="left"/>
        <w:rPr>
          <w:rFonts w:hint="default" w:ascii="Times New Roman CYR" w:hAnsi="Times New Roman CYR" w:eastAsia="Times New Roman CYR"/>
          <w:sz w:val="22"/>
          <w:szCs w:val="24"/>
        </w:rPr>
      </w:pPr>
    </w:p>
    <w:p w14:paraId="3D26284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500"/>
        <w:gridCol w:w="2000"/>
        <w:gridCol w:w="2000"/>
        <w:gridCol w:w="2000"/>
        <w:gridCol w:w="2100"/>
        <w:gridCol w:w="1500"/>
        <w:gridCol w:w="1500"/>
        <w:gridCol w:w="2800"/>
      </w:tblGrid>
      <w:tr w14:paraId="793A000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46D3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FBCE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61DC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F6D9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у випуску, шт.</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E122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86E0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кількість голосуючих акцій, шт.</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979D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обмежено, шт.</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4F0A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за результатами обмеження таких прав передано іншій особі, шт.</w:t>
            </w:r>
          </w:p>
        </w:tc>
      </w:tr>
      <w:tr w14:paraId="5657EB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C8F4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5275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F696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36DB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61A4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6183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C28B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832E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5EFA719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914C4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22.10.2010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F0D65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14D65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UA4000114540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838AD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top"/>
          </w:tcPr>
          <w:p w14:paraId="32D26C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42 899</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51E6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79D36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B2C6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C35B83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B67A06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3900" w:type="dxa"/>
            <w:gridSpan w:val="7"/>
            <w:tcBorders>
              <w:top w:val="single" w:color="auto" w:sz="6" w:space="0"/>
              <w:left w:val="single" w:color="auto" w:sz="6" w:space="0"/>
              <w:bottom w:val="single" w:color="auto" w:sz="6" w:space="0"/>
              <w:right w:val="single" w:color="auto" w:sz="6" w:space="0"/>
              <w:tl2br w:val="nil"/>
              <w:tr2bl w:val="nil"/>
            </w:tcBorders>
            <w:noWrap w:val="0"/>
            <w:vAlign w:val="top"/>
          </w:tcPr>
          <w:p w14:paraId="02951808">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Характеристика обмеження: Кiлькiсть голосуючих акцiй, права голосу за якими обмежено - 0. </w:t>
            </w:r>
          </w:p>
          <w:p w14:paraId="02B4B43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Кiлькiсть голосуючих акцiй, права голосу за якими за результатами обмеження таких прав передано iншiй особi - 0.</w:t>
            </w:r>
          </w:p>
        </w:tc>
      </w:tr>
    </w:tbl>
    <w:p w14:paraId="73365C57">
      <w:pPr>
        <w:spacing w:beforeLines="0" w:afterLines="0"/>
        <w:jc w:val="left"/>
        <w:rPr>
          <w:rFonts w:hint="default" w:ascii="Times New Roman CYR" w:hAnsi="Times New Roman CYR" w:eastAsia="Times New Roman CYR"/>
          <w:sz w:val="22"/>
          <w:szCs w:val="24"/>
        </w:rPr>
      </w:pPr>
    </w:p>
    <w:p w14:paraId="6BE4CBCE">
      <w:pPr>
        <w:spacing w:beforeLines="0" w:afterLines="0"/>
        <w:jc w:val="left"/>
        <w:rPr>
          <w:rFonts w:hint="default" w:ascii="Times New Roman CYR" w:hAnsi="Times New Roman CYR" w:eastAsia="Times New Roman CYR"/>
          <w:sz w:val="22"/>
          <w:szCs w:val="24"/>
        </w:rPr>
        <w:sectPr>
          <w:pgSz w:w="16837" w:h="11905" w:orient="landscape"/>
          <w:pgMar w:top="570" w:right="720" w:bottom="570" w:left="720" w:header="720" w:footer="720" w:gutter="0"/>
          <w:lnNumType w:countBy="0" w:distance="360"/>
          <w:cols w:space="720" w:num="1"/>
        </w:sectPr>
      </w:pPr>
    </w:p>
    <w:p w14:paraId="3300F32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III. Фінансова інформація</w:t>
      </w:r>
    </w:p>
    <w:p w14:paraId="491826F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Інформація про розмір доходу за видами діяльності особи</w:t>
      </w:r>
    </w:p>
    <w:tbl>
      <w:tblPr>
        <w:tblStyle w:val="3"/>
        <w:tblW w:w="0" w:type="auto"/>
        <w:tblInd w:w="18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4020"/>
        <w:gridCol w:w="2900"/>
        <w:gridCol w:w="2900"/>
      </w:tblGrid>
      <w:tr w14:paraId="16A7652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D295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діяльності особи із зазначенням найменування та коду за КВЕД</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2634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доходу особи від реалізації продукції (товарів, робіт, послуг), тис.грн</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33B9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Відсоткове вираження по відношенню від сукупного доходу особи за результатами звітного року</w:t>
            </w:r>
          </w:p>
        </w:tc>
      </w:tr>
      <w:tr w14:paraId="537E72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F0DA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12FF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01AF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r>
      <w:tr w14:paraId="09EE971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top"/>
          </w:tcPr>
          <w:p w14:paraId="0ED620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68.20 - Надання в оренду й експлуатацiю власного чи орендованого нерухомого майна</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6071BC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169,4</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616253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bl>
    <w:p w14:paraId="4A8C43B4">
      <w:pPr>
        <w:spacing w:beforeLines="0" w:afterLines="0"/>
        <w:jc w:val="left"/>
        <w:rPr>
          <w:rFonts w:hint="default" w:ascii="Times New Roman CYR" w:hAnsi="Times New Roman CYR" w:eastAsia="Times New Roman CYR"/>
          <w:sz w:val="22"/>
          <w:szCs w:val="24"/>
        </w:rPr>
      </w:pPr>
    </w:p>
    <w:p w14:paraId="6FD098F8">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Твердження щодо річної інформації</w:t>
      </w:r>
    </w:p>
    <w:p w14:paraId="42B1CC7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Офiцiйна позицiя осiб, якi здiйснюють управлiнськi функцiї та пiдписують рiчну iнформацiю емiтента, така, що, на скiльки це їм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та стан емiтента разом з описом основних ризикiв та невизначеностей, з якими Товариство стикається у своїй господарськiй дiяльностi.</w:t>
      </w:r>
    </w:p>
    <w:p w14:paraId="336D8A82">
      <w:pPr>
        <w:spacing w:beforeLines="0" w:afterLines="0"/>
        <w:jc w:val="left"/>
        <w:rPr>
          <w:rFonts w:hint="default" w:ascii="Times New Roman CYR" w:hAnsi="Times New Roman CYR" w:eastAsia="Times New Roman CYR"/>
          <w:sz w:val="24"/>
          <w:szCs w:val="24"/>
        </w:rPr>
      </w:pPr>
    </w:p>
    <w:p w14:paraId="3549FD7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IV. Нефінансова інформація</w:t>
      </w:r>
    </w:p>
    <w:p w14:paraId="68ED8EF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Звіт керівництва (звіт про управління)</w:t>
      </w:r>
    </w:p>
    <w:p w14:paraId="2798DE6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Звернення до акціонерів/учасників та інших стейкхолдерів від голови ради особи</w:t>
      </w:r>
    </w:p>
    <w:p w14:paraId="46E3629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Звернення до акцiонерiв/учасникiв та iнших стейкхолдерiв вiд голови ради не було.</w:t>
      </w:r>
    </w:p>
    <w:p w14:paraId="12FF14B9">
      <w:pPr>
        <w:spacing w:beforeLines="0" w:afterLines="0"/>
        <w:rPr>
          <w:rFonts w:hint="default" w:ascii="Times New Roman CYR" w:hAnsi="Times New Roman CYR" w:eastAsia="Times New Roman CYR"/>
          <w:sz w:val="24"/>
          <w:szCs w:val="24"/>
        </w:rPr>
      </w:pPr>
    </w:p>
    <w:p w14:paraId="0130006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Звернення до акціонерів/учасників та інших стейкхолдерів від керівника особи</w:t>
      </w:r>
    </w:p>
    <w:p w14:paraId="76E2400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Звернення до акцiонерiв/учасникiв та iнших стейкхолдерiв вiд директора не було.</w:t>
      </w:r>
    </w:p>
    <w:p w14:paraId="06805E0B">
      <w:pPr>
        <w:spacing w:beforeLines="0" w:afterLines="0"/>
        <w:rPr>
          <w:rFonts w:hint="default" w:ascii="Times New Roman CYR" w:hAnsi="Times New Roman CYR" w:eastAsia="Times New Roman CYR"/>
          <w:sz w:val="24"/>
          <w:szCs w:val="24"/>
        </w:rPr>
      </w:pPr>
    </w:p>
    <w:p w14:paraId="5758DB5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Інформація про розвиток та вірогідні перспективи подальшого розвитку особи</w:t>
      </w:r>
    </w:p>
    <w:p w14:paraId="46BEE19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має основним видом дiяльностi надання в оренду й експлуатацiю власного чи орендованого нерухомого майна.</w:t>
      </w:r>
    </w:p>
    <w:p w14:paraId="47472AD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здiйснює свою дiяльнiсть виключно на територiї України, в мiстi Києвi. Основним ринком збуту, з урахуванням основного виду дiяльностi, є нежитлова нерухомiсть, яка здається в оренду пiдприємствам, органiзацiям, фiзичним особам-пiдприємцям, якi орендують примiщення для своєї</w:t>
      </w:r>
    </w:p>
    <w:p w14:paraId="6002C7D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дiяльностi на пiдставi довгострокових договорiв оренди.</w:t>
      </w:r>
    </w:p>
    <w:p w14:paraId="4F7FE41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Товариство не має планiв розвитку. </w:t>
      </w:r>
    </w:p>
    <w:p w14:paraId="329EDC29">
      <w:pPr>
        <w:spacing w:beforeLines="0" w:afterLines="0"/>
        <w:rPr>
          <w:rFonts w:hint="default" w:ascii="Times New Roman CYR" w:hAnsi="Times New Roman CYR" w:eastAsia="Times New Roman CYR"/>
          <w:sz w:val="24"/>
          <w:szCs w:val="24"/>
        </w:rPr>
      </w:pPr>
    </w:p>
    <w:p w14:paraId="3571E30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2D6DC61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укладало деривативних контрактiв та не вчиняло правочинiв щодо деривативних цiнних паперiв.</w:t>
      </w:r>
    </w:p>
    <w:p w14:paraId="689A1730">
      <w:pPr>
        <w:spacing w:beforeLines="0" w:afterLines="0"/>
        <w:rPr>
          <w:rFonts w:hint="default" w:ascii="Times New Roman CYR" w:hAnsi="Times New Roman CYR" w:eastAsia="Times New Roman CYR"/>
          <w:sz w:val="24"/>
          <w:szCs w:val="24"/>
        </w:rPr>
      </w:pPr>
    </w:p>
    <w:p w14:paraId="290BAA9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29CD601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завдання та полiтику особи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 вiдсутня.</w:t>
      </w:r>
    </w:p>
    <w:p w14:paraId="025363CD">
      <w:pPr>
        <w:spacing w:beforeLines="0" w:afterLines="0"/>
        <w:rPr>
          <w:rFonts w:hint="default" w:ascii="Times New Roman CYR" w:hAnsi="Times New Roman CYR" w:eastAsia="Times New Roman CYR"/>
          <w:sz w:val="24"/>
          <w:szCs w:val="24"/>
        </w:rPr>
      </w:pPr>
    </w:p>
    <w:p w14:paraId="41B5669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Схильність особи до цінових ризиків, кредитного ризику, ризику ліквідності та/або ризику грошових потоків</w:t>
      </w:r>
    </w:p>
    <w:p w14:paraId="15F0228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схильнiсть особи до цiнових ризикiв, кредитного ризику, ризику лiквiдностi та/або ризику грошових потокiв вiдсутня.</w:t>
      </w:r>
    </w:p>
    <w:p w14:paraId="46DB12B9">
      <w:pPr>
        <w:spacing w:beforeLines="0" w:afterLines="0"/>
        <w:rPr>
          <w:rFonts w:hint="default" w:ascii="Times New Roman CYR" w:hAnsi="Times New Roman CYR" w:eastAsia="Times New Roman CYR"/>
          <w:sz w:val="24"/>
          <w:szCs w:val="24"/>
        </w:rPr>
      </w:pPr>
    </w:p>
    <w:p w14:paraId="37C84B68">
      <w:pPr>
        <w:spacing w:beforeLines="0" w:afterLines="0"/>
        <w:jc w:val="left"/>
        <w:rPr>
          <w:rFonts w:hint="default" w:ascii="Times New Roman CYR" w:hAnsi="Times New Roman CYR" w:eastAsia="Times New Roman CYR"/>
          <w:sz w:val="24"/>
          <w:szCs w:val="24"/>
        </w:rPr>
      </w:pPr>
    </w:p>
    <w:p w14:paraId="2EA26E3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2. Інформація про загальні збори акціонерів (учасників) та загальний опис прийнятих на таких зборах рішень: 1 (1)</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7000"/>
      </w:tblGrid>
      <w:tr w14:paraId="6C45EFF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E6F647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Дата проведення</w:t>
            </w:r>
          </w:p>
        </w:tc>
        <w:tc>
          <w:tcPr>
            <w:tcW w:w="7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DFF5BF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11.05.2015</w:t>
            </w:r>
          </w:p>
        </w:tc>
      </w:tr>
      <w:tr w14:paraId="6F8C46A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0932A2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Спосіб проведення</w:t>
            </w:r>
          </w:p>
        </w:tc>
        <w:tc>
          <w:tcPr>
            <w:tcW w:w="7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AEB840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X</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очне голосування, місце проведення: 04136, м. Київ, вул. Маршала Гречка 9-Г, кабiнет директора</w:t>
            </w:r>
          </w:p>
          <w:p w14:paraId="10EFC12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електронне голосування</w:t>
            </w:r>
          </w:p>
          <w:p w14:paraId="65B4D30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опитування (дистанційно)</w:t>
            </w:r>
          </w:p>
        </w:tc>
      </w:tr>
      <w:tr w14:paraId="19A1A81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0BD525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Суб'єкт скликання</w:t>
            </w:r>
          </w:p>
        </w:tc>
        <w:tc>
          <w:tcPr>
            <w:tcW w:w="7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8BD307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Директор</w:t>
            </w:r>
          </w:p>
        </w:tc>
      </w:tr>
      <w:tr w14:paraId="65CBBFE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0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EA038C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Питання порядку денного та прийняті рішення:</w:t>
            </w:r>
          </w:p>
        </w:tc>
      </w:tr>
      <w:tr w14:paraId="05125C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0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5005B6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Про обрання лiчильної комiсiї.</w:t>
            </w:r>
          </w:p>
          <w:p w14:paraId="6657C9A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Рiшення прийнято.</w:t>
            </w:r>
          </w:p>
          <w:p w14:paraId="0144AC2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Обрати лiчильну комiсiю у складi Наумчук Алли Павлiвни.</w:t>
            </w:r>
          </w:p>
          <w:p w14:paraId="7F3F1F9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Про обрання голови та секретаря Загальних зборiв акцiонерiв.</w:t>
            </w:r>
          </w:p>
          <w:p w14:paraId="426049E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Рiшення прийнято:</w:t>
            </w:r>
          </w:p>
          <w:p w14:paraId="42C2F0B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Обрати Головою Зборiв Наумчука Вiктора Михайловича, секретарем Зборiв - Наумчук Аллу Павлiвну.</w:t>
            </w:r>
          </w:p>
          <w:p w14:paraId="58FEDEC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Прийняття рiшення з питань порядку проведення рiчних Загальних зборiв акцiонерiв.</w:t>
            </w:r>
          </w:p>
          <w:p w14:paraId="1D79036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Рiшення прийнято.</w:t>
            </w:r>
          </w:p>
          <w:p w14:paraId="7CF083D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3. ВИРIШИЛИ: </w:t>
            </w:r>
          </w:p>
          <w:p w14:paraId="596D10E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Затвердити наступний порядок проведення рiчних Загальних зборiв акцiонерiв:</w:t>
            </w:r>
          </w:p>
          <w:p w14:paraId="508B2A9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1) голосування по всiм питанням порядку денного, окрiм обрання членiв Наглядової ради, проводити вiдкрито бюлетенями для голосування затвердженої Правлiнням Товариства форми;</w:t>
            </w:r>
          </w:p>
          <w:p w14:paraId="01BFA9E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голосування з питань обрання членiв Наглядової ради проводити вiдкрито бюлетенями для кумулятивного голосування затвердженої Правлiнням Товариства форми;</w:t>
            </w:r>
          </w:p>
          <w:p w14:paraId="72058FD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основна доповiдь - до 10 хвилин;</w:t>
            </w:r>
          </w:p>
          <w:p w14:paraId="1BC7312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спiвдоповiдь - до 5 хвилин;</w:t>
            </w:r>
          </w:p>
          <w:p w14:paraId="60F0CBE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виступи в дебатах - до 5 хвилин;</w:t>
            </w:r>
          </w:p>
          <w:p w14:paraId="35E8A1E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 вiдповiдi на запитання - до 3-х хвилин;</w:t>
            </w:r>
          </w:p>
          <w:p w14:paraId="44F367B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 запитання до доповiдачiв та спiвдоповiдачiв ставляться в письмовiй формi. Питання повиннi бути сформульованi коротко, чiтко та не мiстити оцiнки доповiдi або доповiдача. Питання тим, хто виступає в дебатах, не ставляться;</w:t>
            </w:r>
          </w:p>
          <w:p w14:paraId="6191264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акцiонер може виступати тiльки з питання, яке обговорюється.</w:t>
            </w:r>
          </w:p>
          <w:p w14:paraId="3E83D24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Прийняття рiшень за наслiдками розгляду звiту виконавчого органу Товариства за 2012, 2013 та 2014 роки.</w:t>
            </w:r>
          </w:p>
          <w:p w14:paraId="69868C7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Рiшення прийнято.</w:t>
            </w:r>
          </w:p>
          <w:p w14:paraId="6DC16AC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Затвердити звiт виконавчого органу Товариства за 2012, 2013 та 2014 роки. </w:t>
            </w:r>
          </w:p>
          <w:p w14:paraId="0B03B05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Прийняття рiшень за наслiдками розгляду звiту Наглядової ради Товариства за 2012, 2013 та 2014 роки.</w:t>
            </w:r>
          </w:p>
          <w:p w14:paraId="2799D7D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Рiшення прийнято.</w:t>
            </w:r>
          </w:p>
          <w:p w14:paraId="76539DF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Не затверджувати звiт Наглядової ради Товариства за 2012, 2013 та 2014 роки у зв'язку з її вiдсутнiстю. </w:t>
            </w:r>
          </w:p>
          <w:p w14:paraId="4D99B59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Прийняття рiшень за наслiдками розгляду звiту Ревiзiйної комiсiї Товариства за 2012, 2013 та 2014 роки.</w:t>
            </w:r>
          </w:p>
          <w:p w14:paraId="433AF0C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Рiшення прийнято.</w:t>
            </w:r>
          </w:p>
          <w:p w14:paraId="73B195A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Не затверджувати звiт Ревiзiйної комiсiї Товариства за 2012, 2013 та 2014 роки у зв'язку з її вiдсутнiстю.</w:t>
            </w:r>
          </w:p>
          <w:p w14:paraId="193A125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Затвердження рiчних звiтiв Товариства за 2012, 2013 та 2014 роки.</w:t>
            </w:r>
          </w:p>
          <w:p w14:paraId="44AE375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Рiшення прийнято.</w:t>
            </w:r>
          </w:p>
          <w:p w14:paraId="50614F1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Затвердити рiчнi звiти Товариства за 2012, 2013 та 2014 роки.</w:t>
            </w:r>
          </w:p>
          <w:p w14:paraId="3698DCA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Про розподiл прибуткiв i збиткiв Товариства за 2012, 2013 та 2014 роки з урахуванням вимог, передбачених ЗУ "Про акцiонернi товариства".</w:t>
            </w:r>
          </w:p>
          <w:p w14:paraId="10C1B3A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Рiшення прийнято.</w:t>
            </w:r>
          </w:p>
          <w:p w14:paraId="3234178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Прибуток за 2014 рiк  у розмiрi 41,1 тис. грн. направити на розвиток Товариства. </w:t>
            </w:r>
          </w:p>
          <w:p w14:paraId="56753A1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Про визначення кiлькiсного складу Наглядової ради.</w:t>
            </w:r>
          </w:p>
          <w:p w14:paraId="6EE898B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Рiшення прийнято.</w:t>
            </w:r>
          </w:p>
          <w:p w14:paraId="3B37E47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Встановити кiлькiсний склад Наглядової ради у складi 3 (трьох) осiб.</w:t>
            </w:r>
          </w:p>
          <w:p w14:paraId="0D174C9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Обрання членiв Наглядової ради.</w:t>
            </w:r>
          </w:p>
          <w:p w14:paraId="4E5CA99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РIШЕННЯ ПРИЙНЯТО.</w:t>
            </w:r>
          </w:p>
          <w:p w14:paraId="73B382A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Наглядову раду Товариства обрано у наступному складi: </w:t>
            </w:r>
          </w:p>
          <w:p w14:paraId="63754AB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Наумчук Роман Вiкторович - член Наглядової ради;</w:t>
            </w:r>
          </w:p>
          <w:p w14:paraId="69E812C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Федоренко Iгор Валерiйович - член Наглядової ради;</w:t>
            </w:r>
          </w:p>
          <w:p w14:paraId="77FE21A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Бублiй Галина Пилипiвна - член Наглядової ради</w:t>
            </w:r>
          </w:p>
          <w:p w14:paraId="1EE2507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Про затвердження умов цивiльно-правових договорiв, трудових договорiв (контрактiв), що укладатимуться з членами Наглядової ради, встановлення розмiру їх винагороди, обрання особи, яка уповноважується на пiдписання договорiв (контрактiв) з членами Наглядової ради.</w:t>
            </w:r>
          </w:p>
          <w:p w14:paraId="44CF817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Рiшення прийнято.</w:t>
            </w:r>
          </w:p>
          <w:p w14:paraId="41D6DB0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Не затверджувати умови цивiльно-правових договорiв, трудових договорiв (контрактiв), що укладатимуться з членами Наглядової ради, не встановлювати розмiр їх винагороди. </w:t>
            </w:r>
          </w:p>
          <w:p w14:paraId="3B124B1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Прийняття рiшення про припинення повноважень Директора Товариства.</w:t>
            </w:r>
          </w:p>
          <w:p w14:paraId="63FE0F3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Рiшення прийнято.</w:t>
            </w:r>
          </w:p>
          <w:p w14:paraId="5F4A73C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Припинити повноваження Директора Товариства Наумчука В.М.</w:t>
            </w:r>
          </w:p>
          <w:p w14:paraId="14573D9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Обрання Директора Товариства.</w:t>
            </w:r>
          </w:p>
          <w:p w14:paraId="03AF41C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Рiшення прийнято.</w:t>
            </w:r>
          </w:p>
          <w:p w14:paraId="2F15AE2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Обрати Директором Товариства Наумчука В.М. </w:t>
            </w:r>
          </w:p>
          <w:p w14:paraId="6CDF9BC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Про затвердження умов цивiльно-правових договорiв, трудових договорiв (контрактiв), що укладатимуться з Директором, встановлення розмiру його винагороди, обрання особи, яка уповноважується на пiдписання договорiв (контрактiв) з Директором.</w:t>
            </w:r>
          </w:p>
          <w:p w14:paraId="0BAF2F7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Рiшення прийнято.</w:t>
            </w:r>
          </w:p>
          <w:p w14:paraId="135F10A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Не затверджувати умови цивiльно-правових договорiв, трудових договорiв (контрактiв), що укладатимуться з Директором, не встановлювати розмiр його винагороди. </w:t>
            </w:r>
          </w:p>
          <w:p w14:paraId="625FC74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Про попереднє схвалення значних правочинiв.</w:t>
            </w:r>
          </w:p>
          <w:p w14:paraId="117E0A4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Рiшення прийнято:</w:t>
            </w:r>
          </w:p>
          <w:p w14:paraId="4BE332F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Попередньо схвалити значнi правочини, якi можуть вчинятись Товариством на протязi перiоду з 11.05.2015 р. по 10.05.2016 р., в тому числi правочини, пов'язанi з укладенням та/або пролонгацiєю кредитних договорiв та/або внесенням змiн до умов кредитних договорiв, укладених Товариством, депозитних договорiв, договорiв про надання фiнансових та майнових порук, договорiв застави/iпотеки, договорiв позики, в тому числi спiвробiтникам Товариства, укладення договорiв придбання та вiдчуження обладнання, договорiв придбання та вiдчуження будь-якого рухомого та нерухомого майна Товариства, укладення договорiв продажу товарiв, робiт послуг тощо, правочини пов'язанi з укладенням мирових угод, правочини, щодо вчинення яких є заiнтересованiсть граничною сукупною вартiстю не бiльш нiж 10 000 000,00 (десять мiльйонiв грн. 00 коп.) гривень.</w:t>
            </w:r>
          </w:p>
          <w:p w14:paraId="376B9DC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Про надання повноважень на укладання попередньо схвалених значних правочинiв.</w:t>
            </w:r>
          </w:p>
          <w:p w14:paraId="6E21E6F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Рiшення прийнято.</w:t>
            </w:r>
          </w:p>
          <w:p w14:paraId="4E18015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Надати директору Товариства Наумчуку Вiктору Михайловичу або уповноваженим ним особам за довiренiстю повноваження протягом 1 (одного) року з дати проведення цих Загальних зборiв здiйснювати всi необхiднi дiї щодо вчинення вiд iменi Товариства попередньо схвалених значних правочинiв. </w:t>
            </w:r>
          </w:p>
          <w:p w14:paraId="59E1DC3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17.</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Змiна найменування ВАТ "СПМК-523" у зв'язку з приведенням його у вiдповiднiсть до Закону України "Про акцiонернi товариства".</w:t>
            </w:r>
          </w:p>
          <w:p w14:paraId="5B90FCA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Рiшення прийнято.</w:t>
            </w:r>
          </w:p>
          <w:p w14:paraId="7D3773F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У зв'язку з приведенням найменування Товариства у вiдповiднiсть з нормами Закону України "Про акцiонернi товариства", змiнити найменування вiдкритого акцiонерного товариства "СПМК-523" на приватне акцiонерне товариство "СПМК-523". </w:t>
            </w:r>
          </w:p>
          <w:p w14:paraId="376613D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18.</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Внесення змiн та доповнень до Статуту ВАТ "СПМК-523" у зв'язку з приведенням його у вiдповiднiсть до Закону України "Про акцiонернi товариства" шляхом викладення його у новiй редакцiї та затвердження нової редакцiї Статуту. Обрання осiб, уповноважених на пiдписання нової редакцiї Статуту Товариства.</w:t>
            </w:r>
          </w:p>
          <w:p w14:paraId="10B902F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Рiшення прийнято </w:t>
            </w:r>
          </w:p>
          <w:p w14:paraId="7972A7B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Внести змiни до Статуту Товариства у зв'язку з приведенням його у вiдповiднiсть до Закону України "Про акцiонернi товариства" шляхом викладення його у новiй редакцiї та затвердити нову редакцiю Статуту Товариства. Надати повноваження головi та секретарю Зборiв пiдписати нову редакцiю Статуту Товариства.</w:t>
            </w:r>
          </w:p>
          <w:p w14:paraId="14201E9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19.</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Про надання повноважень на вчинення дiй, пов'язаних iз реєстрацiєю нової редакцiї Статуту Товариства та iнших рiшень, прийнятих на зборах.</w:t>
            </w:r>
          </w:p>
          <w:p w14:paraId="59BB2F5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Рiшення прийнято.</w:t>
            </w:r>
          </w:p>
          <w:p w14:paraId="1E76B33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Надати повноваження Директору Товариства Наумчуку В.М. (паспорт серiї СН №900823, вид. 10.09.1998р. Подiльським РУГУ МВС України в м. Києвi) або уповноваженим ним особам за довiренiстю вчинити всi дiї, пов'язанi iз реєстрацiєю нової редакцiї Статуту Товариства та iнших рiшень, прийнятих на зборах.</w:t>
            </w:r>
          </w:p>
        </w:tc>
      </w:tr>
      <w:tr w14:paraId="76CA0D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E3FD8B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URL-адреса протоколу загальних зборів:</w:t>
            </w:r>
          </w:p>
        </w:tc>
        <w:tc>
          <w:tcPr>
            <w:tcW w:w="7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EA4478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http://spmk523.emitents.net.ua/ua/docs</w:t>
            </w:r>
          </w:p>
        </w:tc>
      </w:tr>
    </w:tbl>
    <w:p w14:paraId="2E3BDEBE">
      <w:pPr>
        <w:spacing w:beforeLines="0" w:afterLines="0"/>
        <w:jc w:val="left"/>
        <w:rPr>
          <w:rFonts w:hint="default" w:ascii="Times New Roman CYR" w:hAnsi="Times New Roman CYR" w:eastAsia="Times New Roman CYR"/>
          <w:sz w:val="24"/>
          <w:szCs w:val="24"/>
        </w:rPr>
      </w:pPr>
    </w:p>
    <w:p w14:paraId="4EF371F8">
      <w:pPr>
        <w:spacing w:beforeLines="0" w:afterLines="0"/>
        <w:jc w:val="left"/>
        <w:rPr>
          <w:rFonts w:hint="default" w:ascii="Times New Roman CYR" w:hAnsi="Times New Roman CYR" w:eastAsia="Times New Roman CYR"/>
          <w:sz w:val="24"/>
          <w:szCs w:val="24"/>
        </w:rPr>
      </w:pPr>
    </w:p>
    <w:p w14:paraId="7CDB59F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4. Рада</w:t>
      </w:r>
    </w:p>
    <w:p w14:paraId="5042B5F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Персональний склад ради та її комітетів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150"/>
        <w:gridCol w:w="1150"/>
        <w:gridCol w:w="1150"/>
        <w:gridCol w:w="1150"/>
        <w:gridCol w:w="1150"/>
        <w:gridCol w:w="1250"/>
      </w:tblGrid>
      <w:tr w14:paraId="5A6D7C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DE67A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члена ради, строк повноважень у звітному періоді</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386D2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F7174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BCB15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Голова/ заступник голови ради</w:t>
            </w:r>
          </w:p>
        </w:tc>
        <w:tc>
          <w:tcPr>
            <w:tcW w:w="3550"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490DA3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Голова / член комітету ради</w:t>
            </w:r>
          </w:p>
        </w:tc>
      </w:tr>
      <w:tr w14:paraId="3BA832E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C0A8B12">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3DE5D39">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2F514D1">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C0450BE">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3B51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- 1</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81C3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- 2</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9514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- 3</w:t>
            </w:r>
          </w:p>
        </w:tc>
      </w:tr>
      <w:tr w14:paraId="7A835B5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F7956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Роман Вiкторович, 11.01.2015-31.12.2015</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6125CEF">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680336A6">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D7952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0028DA84">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0BFCE5F6">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27B28B4">
            <w:pPr>
              <w:spacing w:beforeLines="0" w:afterLines="0"/>
              <w:jc w:val="center"/>
              <w:rPr>
                <w:rFonts w:hint="default" w:ascii="Times New Roman CYR" w:hAnsi="Times New Roman CYR" w:eastAsia="Times New Roman CYR"/>
                <w:sz w:val="22"/>
                <w:szCs w:val="24"/>
              </w:rPr>
            </w:pPr>
          </w:p>
        </w:tc>
      </w:tr>
      <w:tr w14:paraId="266E450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921E7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Федоренко Iгор Валерiйович, 11.05.2015-31.12.2015</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CE9B4A5">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19986D44">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45E7BD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Y</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49F451EB">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37F200E4">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9CAC743">
            <w:pPr>
              <w:spacing w:beforeLines="0" w:afterLines="0"/>
              <w:jc w:val="center"/>
              <w:rPr>
                <w:rFonts w:hint="default" w:ascii="Times New Roman CYR" w:hAnsi="Times New Roman CYR" w:eastAsia="Times New Roman CYR"/>
                <w:sz w:val="22"/>
                <w:szCs w:val="24"/>
              </w:rPr>
            </w:pPr>
          </w:p>
        </w:tc>
      </w:tr>
      <w:tr w14:paraId="7C12023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17BBF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Бублiй Галина Пилипiвна, 11.05.2015-31.12.2015</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46C96CC7">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64E3A57F">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74974F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Y</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79482E8B">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83CEA3E">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3180C10">
            <w:pPr>
              <w:spacing w:beforeLines="0" w:afterLines="0"/>
              <w:jc w:val="center"/>
              <w:rPr>
                <w:rFonts w:hint="default" w:ascii="Times New Roman CYR" w:hAnsi="Times New Roman CYR" w:eastAsia="Times New Roman CYR"/>
                <w:sz w:val="22"/>
                <w:szCs w:val="24"/>
              </w:rPr>
            </w:pPr>
          </w:p>
        </w:tc>
      </w:tr>
    </w:tbl>
    <w:p w14:paraId="7B2EE02A">
      <w:pPr>
        <w:spacing w:beforeLines="0" w:afterLines="0"/>
        <w:jc w:val="left"/>
        <w:rPr>
          <w:rFonts w:hint="default" w:ascii="Times New Roman CYR" w:hAnsi="Times New Roman CYR" w:eastAsia="Times New Roman CYR"/>
          <w:sz w:val="22"/>
          <w:szCs w:val="24"/>
        </w:rPr>
      </w:pPr>
    </w:p>
    <w:p w14:paraId="336E46F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проведені засідання ради та загальний опис прийнятих рішень</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000"/>
        <w:gridCol w:w="8000"/>
      </w:tblGrid>
      <w:tr w14:paraId="04804C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13F1EF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Кількість засідань ради у звітному періоді:</w:t>
            </w:r>
          </w:p>
        </w:tc>
        <w:tc>
          <w:tcPr>
            <w:tcW w:w="8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998B3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r>
      <w:tr w14:paraId="79AB525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558079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 них очних:</w:t>
            </w:r>
          </w:p>
        </w:tc>
        <w:tc>
          <w:tcPr>
            <w:tcW w:w="8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5E9C30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r>
      <w:tr w14:paraId="563CC0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82AEE8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 них заочних:</w:t>
            </w:r>
          </w:p>
        </w:tc>
        <w:tc>
          <w:tcPr>
            <w:tcW w:w="8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D6B8FD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60339A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5CAA15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рішень ради:</w:t>
            </w:r>
          </w:p>
        </w:tc>
        <w:tc>
          <w:tcPr>
            <w:tcW w:w="8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4F908D8">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На пiдставi рiшення Загальних зборiв акцiонерiв було прйнято рiшення обрати директором Товариства Наумчука Вiктора Михайловича. </w:t>
            </w:r>
          </w:p>
          <w:p w14:paraId="7A151E9D">
            <w:pPr>
              <w:spacing w:beforeLines="0" w:afterLines="0"/>
              <w:rPr>
                <w:rFonts w:hint="default" w:ascii="Times New Roman CYR" w:hAnsi="Times New Roman CYR" w:eastAsia="Times New Roman CYR"/>
                <w:sz w:val="22"/>
                <w:szCs w:val="24"/>
              </w:rPr>
            </w:pPr>
          </w:p>
          <w:p w14:paraId="2924D81C">
            <w:pPr>
              <w:spacing w:beforeLines="0" w:afterLines="0"/>
              <w:rPr>
                <w:rFonts w:hint="default" w:ascii="Times New Roman CYR" w:hAnsi="Times New Roman CYR" w:eastAsia="Times New Roman CYR"/>
                <w:sz w:val="22"/>
                <w:szCs w:val="24"/>
              </w:rPr>
            </w:pPr>
          </w:p>
          <w:p w14:paraId="314D9705">
            <w:pPr>
              <w:spacing w:beforeLines="0" w:afterLines="0"/>
              <w:rPr>
                <w:rFonts w:hint="default" w:ascii="Times New Roman CYR" w:hAnsi="Times New Roman CYR" w:eastAsia="Times New Roman CYR"/>
                <w:sz w:val="22"/>
                <w:szCs w:val="24"/>
              </w:rPr>
            </w:pPr>
          </w:p>
        </w:tc>
      </w:tr>
    </w:tbl>
    <w:p w14:paraId="250D9D15">
      <w:pPr>
        <w:spacing w:beforeLines="0" w:afterLines="0"/>
        <w:jc w:val="left"/>
        <w:rPr>
          <w:rFonts w:hint="default" w:ascii="Times New Roman CYR" w:hAnsi="Times New Roman CYR" w:eastAsia="Times New Roman CYR"/>
          <w:sz w:val="22"/>
          <w:szCs w:val="24"/>
        </w:rPr>
      </w:pPr>
    </w:p>
    <w:p w14:paraId="4402D32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одноосібний виконавчий орган та загальний опис прийнятих рішень</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500"/>
        <w:gridCol w:w="6500"/>
      </w:tblGrid>
      <w:tr w14:paraId="1DB67B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83A6D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4DB78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Наумчук Вiктор Михайлович</w:t>
            </w:r>
          </w:p>
        </w:tc>
      </w:tr>
      <w:tr w14:paraId="3273281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24730E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A87357">
            <w:pPr>
              <w:spacing w:beforeLines="0" w:afterLines="0"/>
              <w:jc w:val="left"/>
              <w:rPr>
                <w:rFonts w:hint="default" w:ascii="Times New Roman CYR" w:hAnsi="Times New Roman CYR" w:eastAsia="Times New Roman CYR"/>
                <w:sz w:val="24"/>
                <w:szCs w:val="24"/>
              </w:rPr>
            </w:pPr>
          </w:p>
        </w:tc>
      </w:tr>
      <w:tr w14:paraId="753DB7E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0A61A2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77A33EF">
            <w:pPr>
              <w:spacing w:beforeLines="0" w:afterLines="0"/>
              <w:jc w:val="left"/>
              <w:rPr>
                <w:rFonts w:hint="default" w:ascii="Times New Roman CYR" w:hAnsi="Times New Roman CYR" w:eastAsia="Times New Roman CYR"/>
                <w:sz w:val="24"/>
                <w:szCs w:val="24"/>
              </w:rPr>
            </w:pPr>
          </w:p>
        </w:tc>
      </w:tr>
      <w:tr w14:paraId="4BB5FFC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BD8866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рішень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B6DDF27">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Приймались рiшення стосовно основних напрямкiв фiнансово-господарської дiяльностi Товариства та визначення заходiв, запланованих для забезпечення стабiльного функцiонування Товариства.</w:t>
            </w:r>
          </w:p>
        </w:tc>
      </w:tr>
      <w:tr w14:paraId="5416F7C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75C33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заступника(ів)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DFF225E">
            <w:pPr>
              <w:spacing w:beforeLines="0" w:afterLines="0"/>
              <w:jc w:val="left"/>
              <w:rPr>
                <w:rFonts w:hint="default" w:ascii="Times New Roman CYR" w:hAnsi="Times New Roman CYR" w:eastAsia="Times New Roman CYR"/>
                <w:sz w:val="24"/>
                <w:szCs w:val="24"/>
              </w:rPr>
            </w:pPr>
          </w:p>
        </w:tc>
      </w:tr>
      <w:tr w14:paraId="68A8BD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D843FF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9CCD572">
            <w:pPr>
              <w:spacing w:beforeLines="0" w:afterLines="0"/>
              <w:jc w:val="left"/>
              <w:rPr>
                <w:rFonts w:hint="default" w:ascii="Times New Roman CYR" w:hAnsi="Times New Roman CYR" w:eastAsia="Times New Roman CYR"/>
                <w:sz w:val="24"/>
                <w:szCs w:val="24"/>
              </w:rPr>
            </w:pPr>
          </w:p>
        </w:tc>
      </w:tr>
      <w:tr w14:paraId="0A5295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01E45E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34E9391">
            <w:pPr>
              <w:spacing w:beforeLines="0" w:afterLines="0"/>
              <w:jc w:val="left"/>
              <w:rPr>
                <w:rFonts w:hint="default" w:ascii="Times New Roman CYR" w:hAnsi="Times New Roman CYR" w:eastAsia="Times New Roman CYR"/>
                <w:sz w:val="24"/>
                <w:szCs w:val="24"/>
              </w:rPr>
            </w:pPr>
          </w:p>
        </w:tc>
      </w:tr>
      <w:tr w14:paraId="43FDE85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7B1629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Сфера відповідальності заступника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329E34E">
            <w:pPr>
              <w:spacing w:beforeLines="0" w:afterLines="0"/>
              <w:rPr>
                <w:rFonts w:hint="default" w:ascii="Times New Roman CYR" w:hAnsi="Times New Roman CYR" w:eastAsia="Times New Roman CYR"/>
                <w:sz w:val="22"/>
                <w:szCs w:val="24"/>
              </w:rPr>
            </w:pPr>
          </w:p>
        </w:tc>
      </w:tr>
      <w:tr w14:paraId="4B32A30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F71FA3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AB97B48">
            <w:pPr>
              <w:spacing w:beforeLines="0" w:afterLines="0"/>
              <w:jc w:val="left"/>
              <w:rPr>
                <w:rFonts w:hint="default" w:ascii="Times New Roman CYR" w:hAnsi="Times New Roman CYR" w:eastAsia="Times New Roman CYR"/>
                <w:sz w:val="24"/>
                <w:szCs w:val="24"/>
              </w:rPr>
            </w:pPr>
          </w:p>
        </w:tc>
      </w:tr>
      <w:tr w14:paraId="0D2EA41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04A8D4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B228CF7">
            <w:pPr>
              <w:spacing w:beforeLines="0" w:afterLines="0"/>
              <w:jc w:val="left"/>
              <w:rPr>
                <w:rFonts w:hint="default" w:ascii="Times New Roman CYR" w:hAnsi="Times New Roman CYR" w:eastAsia="Times New Roman CYR"/>
                <w:sz w:val="24"/>
                <w:szCs w:val="24"/>
              </w:rPr>
            </w:pPr>
          </w:p>
        </w:tc>
      </w:tr>
      <w:tr w14:paraId="731CED9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FB699E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6825795">
            <w:pPr>
              <w:spacing w:beforeLines="0" w:afterLines="0"/>
              <w:jc w:val="left"/>
              <w:rPr>
                <w:rFonts w:hint="default" w:ascii="Times New Roman CYR" w:hAnsi="Times New Roman CYR" w:eastAsia="Times New Roman CYR"/>
                <w:sz w:val="24"/>
                <w:szCs w:val="24"/>
              </w:rPr>
            </w:pPr>
          </w:p>
        </w:tc>
      </w:tr>
    </w:tbl>
    <w:p w14:paraId="681CB17D">
      <w:pPr>
        <w:spacing w:beforeLines="0" w:afterLines="0"/>
        <w:jc w:val="left"/>
        <w:rPr>
          <w:rFonts w:hint="default" w:ascii="Times New Roman CYR" w:hAnsi="Times New Roman CYR" w:eastAsia="Times New Roman CYR"/>
          <w:sz w:val="24"/>
          <w:szCs w:val="24"/>
        </w:rPr>
      </w:pPr>
    </w:p>
    <w:p w14:paraId="356E945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8. Інформація щодо осіб, які прямо або опосередковано є власниками значного пакета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750"/>
        <w:gridCol w:w="1750"/>
        <w:gridCol w:w="1750"/>
        <w:gridCol w:w="1750"/>
      </w:tblGrid>
      <w:tr w14:paraId="5273E0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10FA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або повне найменування акціонера</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604B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3C6E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C7DF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значного пакета акцій</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6063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пакета акцій, що знаходиться в прямому та (опосередкованому) володінні</w:t>
            </w:r>
          </w:p>
        </w:tc>
      </w:tr>
      <w:tr w14:paraId="5D477B8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647D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F4D3F0">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9685BC">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2AC6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525F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r>
    </w:tbl>
    <w:p w14:paraId="4DA29344">
      <w:pPr>
        <w:spacing w:beforeLines="0" w:afterLines="0"/>
        <w:jc w:val="left"/>
        <w:rPr>
          <w:rFonts w:hint="default" w:ascii="Times New Roman CYR" w:hAnsi="Times New Roman CYR" w:eastAsia="Times New Roman CYR"/>
          <w:sz w:val="22"/>
          <w:szCs w:val="24"/>
        </w:rPr>
      </w:pPr>
    </w:p>
    <w:p w14:paraId="12A7725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5. Перелік посилань на внутрішні документи особи, що розміщені на вебсайті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200"/>
        <w:gridCol w:w="3200"/>
        <w:gridCol w:w="3100"/>
      </w:tblGrid>
      <w:tr w14:paraId="07410C8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B2D6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9FDB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внутрішнього документа</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8AD4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питань, які регулюються внутрішнім документом</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D477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URL-адреса вебсайту особи, за якою розміщено внутрішній документ</w:t>
            </w:r>
          </w:p>
        </w:tc>
      </w:tr>
      <w:tr w14:paraId="16CF99E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0B4C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9D02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0FA7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3741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293A86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F01A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D125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A0BC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ЗАГАЛЬНI ПОЛОЖЕННЯ</w:t>
            </w:r>
          </w:p>
          <w:p w14:paraId="45A483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ЮРИДИЧНИЙ СТАТУС ТА ПРАВОЗДАТНIСТЬ ТОВАРИСТВА</w:t>
            </w:r>
          </w:p>
          <w:p w14:paraId="2B4B0F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МЕТА ТА ПРЕДМЕТ ДIЯЛЬНОСТI</w:t>
            </w:r>
          </w:p>
          <w:p w14:paraId="122FE7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АКЦIОНЕРИ ТОВАРИСТВА</w:t>
            </w:r>
          </w:p>
          <w:p w14:paraId="386B58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СТАТУТНИЙ КАПIТАЛ ТА АКЦIЇ ТОВАРИСТВА</w:t>
            </w:r>
          </w:p>
          <w:p w14:paraId="4B9164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 ДИВIДЕНДИ</w:t>
            </w:r>
          </w:p>
          <w:p w14:paraId="207633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 МАЙНО ТА ФОНДИ ТОВАРИСТВА</w:t>
            </w:r>
          </w:p>
          <w:p w14:paraId="52CDA3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ОРГАНИ УПРАВЛIННЯ</w:t>
            </w:r>
          </w:p>
          <w:p w14:paraId="08F59E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 ЗАГАЛЬНI ЗБОРИ АКЦIОНЕРIВ</w:t>
            </w:r>
          </w:p>
          <w:p w14:paraId="1B2BCC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 НАГЛЯДОВА РАДА ТОВАРИСТВА</w:t>
            </w:r>
          </w:p>
          <w:p w14:paraId="1F8BFA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 ДИРЕКТОР ТОВАРИСТВА</w:t>
            </w:r>
          </w:p>
          <w:p w14:paraId="0C4380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 РЕВIЗIЙНА КОМIСIЯ ТОВАРИСТВА</w:t>
            </w:r>
          </w:p>
          <w:p w14:paraId="57DAAA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 ГОСПОДАРСЬКА ТА ФIНАНСОВО-ЕКОНОМIЧНА ДIЯЛЬНIСТЬ ТОВАРИСТВА</w:t>
            </w:r>
          </w:p>
          <w:p w14:paraId="1C1A4B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 ЗОВНIШНЬОЕКОНОМIЧНА ДIЯЛЬНIСТЬ</w:t>
            </w:r>
          </w:p>
          <w:p w14:paraId="03EEA3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 ОБЛIК, ЗВIТНIСТЬ, АУДИТ</w:t>
            </w:r>
          </w:p>
          <w:p w14:paraId="401060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 КАДРИ I ОПЛАТА ПРАЦI</w:t>
            </w:r>
          </w:p>
          <w:p w14:paraId="01E0D6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 ПОРЯДОК ВНЕСЕННЯ ЗМIН ДО СТАТУТУ</w:t>
            </w:r>
          </w:p>
          <w:p w14:paraId="0BB2EE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 ПРИПИНЕННЯ ДIЯЛЬНОСТI I ЛIКВIДАЦIЯ ТОВАРИСТВА</w:t>
            </w:r>
          </w:p>
          <w:p w14:paraId="29AB4835">
            <w:pPr>
              <w:spacing w:beforeLines="0" w:afterLines="0"/>
              <w:jc w:val="center"/>
              <w:rPr>
                <w:rFonts w:hint="default" w:ascii="Times New Roman CYR" w:hAnsi="Times New Roman CYR" w:eastAsia="Times New Roman CYR"/>
                <w:sz w:val="22"/>
                <w:szCs w:val="24"/>
              </w:rPr>
            </w:pP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2FF5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http://spmk523.emitents.net.ua/ua/docs/?fg_id=102</w:t>
            </w:r>
          </w:p>
        </w:tc>
      </w:tr>
    </w:tbl>
    <w:p w14:paraId="6F848A59">
      <w:pPr>
        <w:spacing w:beforeLines="0" w:afterLines="0"/>
        <w:jc w:val="left"/>
        <w:rPr>
          <w:rFonts w:hint="default" w:ascii="Times New Roman CYR" w:hAnsi="Times New Roman CYR" w:eastAsia="Times New Roman CYR"/>
          <w:sz w:val="22"/>
          <w:szCs w:val="24"/>
        </w:rPr>
      </w:pPr>
    </w:p>
    <w:p w14:paraId="12D6BF31">
      <w:pPr>
        <w:spacing w:beforeLines="0" w:afterLines="0"/>
        <w:jc w:val="left"/>
        <w:rPr>
          <w:rFonts w:hint="default" w:ascii="Times New Roman CYR" w:hAnsi="Times New Roman CYR" w:eastAsia="Times New Roman CYR"/>
          <w:sz w:val="24"/>
          <w:szCs w:val="24"/>
        </w:rPr>
      </w:pPr>
    </w:p>
    <w:p w14:paraId="436226F5">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Фінансова звітність</w:t>
      </w:r>
    </w:p>
    <w:p w14:paraId="7EC47E87">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мікропідприємництва</w:t>
      </w: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4490"/>
        <w:gridCol w:w="1990"/>
        <w:gridCol w:w="1360"/>
      </w:tblGrid>
      <w:tr w14:paraId="690B6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8640" w:type="dxa"/>
          <w:trHeight w:val="298" w:hRule="atLeast"/>
        </w:trPr>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B10733">
            <w:pPr>
              <w:spacing w:beforeLines="0" w:afterLines="0"/>
              <w:jc w:val="center"/>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КОДИ</w:t>
            </w:r>
          </w:p>
        </w:tc>
      </w:tr>
      <w:tr w14:paraId="40D15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650" w:type="dxa"/>
          <w:trHeight w:val="298" w:hRule="atLeast"/>
        </w:trPr>
        <w:tc>
          <w:tcPr>
            <w:tcW w:w="1990" w:type="dxa"/>
            <w:tcBorders>
              <w:top w:val="nil"/>
              <w:left w:val="nil"/>
              <w:bottom w:val="nil"/>
              <w:right w:val="single" w:color="auto" w:sz="6" w:space="0"/>
              <w:tl2br w:val="nil"/>
              <w:tr2bl w:val="nil"/>
            </w:tcBorders>
            <w:noWrap w:val="0"/>
            <w:vAlign w:val="center"/>
          </w:tcPr>
          <w:p w14:paraId="2C79B8D3">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Дата (рік, місяць, число)</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70AF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2016.01.01</w:t>
            </w:r>
          </w:p>
        </w:tc>
      </w:tr>
      <w:tr w14:paraId="50F71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66FBBDE6">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Підприємство</w:t>
            </w:r>
          </w:p>
        </w:tc>
        <w:tc>
          <w:tcPr>
            <w:tcW w:w="4490" w:type="dxa"/>
            <w:vMerge w:val="restart"/>
            <w:tcBorders>
              <w:top w:val="nil"/>
              <w:left w:val="nil"/>
              <w:bottom w:val="nil"/>
              <w:right w:val="nil"/>
              <w:tl2br w:val="nil"/>
              <w:tr2bl w:val="nil"/>
            </w:tcBorders>
            <w:noWrap w:val="0"/>
            <w:vAlign w:val="center"/>
          </w:tcPr>
          <w:p w14:paraId="5141114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ПРИВАТНЕ АКЦIОНЕРНЕ ТОВАРИСТВО "СПМК-523"</w:t>
            </w:r>
          </w:p>
        </w:tc>
        <w:tc>
          <w:tcPr>
            <w:tcW w:w="1990" w:type="dxa"/>
            <w:tcBorders>
              <w:top w:val="nil"/>
              <w:left w:val="nil"/>
              <w:bottom w:val="nil"/>
              <w:right w:val="single" w:color="auto" w:sz="6" w:space="0"/>
              <w:tl2br w:val="nil"/>
              <w:tr2bl w:val="nil"/>
            </w:tcBorders>
            <w:noWrap w:val="0"/>
            <w:vAlign w:val="center"/>
          </w:tcPr>
          <w:p w14:paraId="5D888F42">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ЄДРПОУ</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A4B9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01354473</w:t>
            </w:r>
          </w:p>
        </w:tc>
      </w:tr>
      <w:tr w14:paraId="162B8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6F68A703">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Територія</w:t>
            </w:r>
          </w:p>
        </w:tc>
        <w:tc>
          <w:tcPr>
            <w:tcW w:w="4490" w:type="dxa"/>
            <w:vMerge w:val="restart"/>
            <w:tcBorders>
              <w:top w:val="nil"/>
              <w:left w:val="nil"/>
              <w:bottom w:val="nil"/>
              <w:right w:val="nil"/>
              <w:tl2br w:val="nil"/>
              <w:tr2bl w:val="nil"/>
            </w:tcBorders>
            <w:noWrap w:val="0"/>
            <w:vAlign w:val="center"/>
          </w:tcPr>
          <w:p w14:paraId="6396AC8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w:t>
            </w:r>
          </w:p>
        </w:tc>
        <w:tc>
          <w:tcPr>
            <w:tcW w:w="1990" w:type="dxa"/>
            <w:tcBorders>
              <w:top w:val="nil"/>
              <w:left w:val="nil"/>
              <w:bottom w:val="nil"/>
              <w:right w:val="single" w:color="auto" w:sz="6" w:space="0"/>
              <w:tl2br w:val="nil"/>
              <w:tr2bl w:val="nil"/>
            </w:tcBorders>
            <w:noWrap w:val="0"/>
            <w:vAlign w:val="center"/>
          </w:tcPr>
          <w:p w14:paraId="040B4B50">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КАТОТТГ</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7ABC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8038500000</w:t>
            </w:r>
          </w:p>
        </w:tc>
      </w:tr>
      <w:tr w14:paraId="492C0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4EF8C41F">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Організаційно-правова форма господарювання</w:t>
            </w:r>
          </w:p>
        </w:tc>
        <w:tc>
          <w:tcPr>
            <w:tcW w:w="4490" w:type="dxa"/>
            <w:vMerge w:val="restart"/>
            <w:tcBorders>
              <w:top w:val="nil"/>
              <w:left w:val="nil"/>
              <w:bottom w:val="nil"/>
              <w:right w:val="nil"/>
              <w:tl2br w:val="nil"/>
              <w:tr2bl w:val="nil"/>
            </w:tcBorders>
            <w:noWrap w:val="0"/>
            <w:vAlign w:val="center"/>
          </w:tcPr>
          <w:p w14:paraId="1CE79533">
            <w:pPr>
              <w:spacing w:beforeLines="0" w:afterLines="0"/>
              <w:jc w:val="left"/>
              <w:rPr>
                <w:rFonts w:hint="default" w:ascii="Times New Roman CYR" w:hAnsi="Times New Roman CYR" w:eastAsia="Times New Roman CYR"/>
                <w:sz w:val="22"/>
                <w:szCs w:val="24"/>
              </w:rPr>
            </w:pPr>
          </w:p>
        </w:tc>
        <w:tc>
          <w:tcPr>
            <w:tcW w:w="1990" w:type="dxa"/>
            <w:tcBorders>
              <w:top w:val="nil"/>
              <w:left w:val="nil"/>
              <w:bottom w:val="nil"/>
              <w:right w:val="single" w:color="auto" w:sz="6" w:space="0"/>
              <w:tl2br w:val="nil"/>
              <w:tr2bl w:val="nil"/>
            </w:tcBorders>
            <w:noWrap w:val="0"/>
            <w:vAlign w:val="center"/>
          </w:tcPr>
          <w:p w14:paraId="66405BF8">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КОПФГ</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4324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280</w:t>
            </w:r>
          </w:p>
        </w:tc>
      </w:tr>
      <w:tr w14:paraId="30F74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1B3D46A4">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Вид економічної діяльності</w:t>
            </w:r>
          </w:p>
        </w:tc>
        <w:tc>
          <w:tcPr>
            <w:tcW w:w="4490" w:type="dxa"/>
            <w:tcBorders>
              <w:top w:val="nil"/>
              <w:left w:val="nil"/>
              <w:bottom w:val="nil"/>
              <w:right w:val="nil"/>
              <w:tl2br w:val="nil"/>
              <w:tr2bl w:val="nil"/>
            </w:tcBorders>
            <w:noWrap w:val="0"/>
            <w:vAlign w:val="center"/>
          </w:tcPr>
          <w:p w14:paraId="66330D3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Надання в оренду й експлуатацію  власного чи орендованого нерухомого майна</w:t>
            </w:r>
          </w:p>
        </w:tc>
        <w:tc>
          <w:tcPr>
            <w:tcW w:w="1990" w:type="dxa"/>
            <w:tcBorders>
              <w:top w:val="nil"/>
              <w:left w:val="nil"/>
              <w:bottom w:val="nil"/>
              <w:right w:val="single" w:color="auto" w:sz="6" w:space="0"/>
              <w:tl2br w:val="nil"/>
              <w:tr2bl w:val="nil"/>
            </w:tcBorders>
            <w:noWrap w:val="0"/>
            <w:vAlign w:val="center"/>
          </w:tcPr>
          <w:p w14:paraId="183032E1">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КВЕД</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6BAE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68.20</w:t>
            </w:r>
          </w:p>
        </w:tc>
      </w:tr>
    </w:tbl>
    <w:p w14:paraId="6CE4C6F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Середня кількість працівників, осіб: </w:t>
      </w:r>
      <w:r>
        <w:rPr>
          <w:rFonts w:hint="default" w:ascii="Times New Roman CYR" w:hAnsi="Times New Roman CYR" w:eastAsia="Times New Roman CYR"/>
          <w:sz w:val="22"/>
          <w:szCs w:val="24"/>
        </w:rPr>
        <w:t>1</w:t>
      </w:r>
    </w:p>
    <w:p w14:paraId="05EB79D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Одиниця виміру: </w:t>
      </w:r>
      <w:r>
        <w:rPr>
          <w:rFonts w:hint="default" w:ascii="Times New Roman CYR" w:hAnsi="Times New Roman CYR" w:eastAsia="Times New Roman CYR"/>
          <w:sz w:val="22"/>
          <w:szCs w:val="24"/>
        </w:rPr>
        <w:t>тис.грн. з одним десятковим знаком</w:t>
      </w:r>
    </w:p>
    <w:p w14:paraId="0B0F1E9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Адреса, телефон: </w:t>
      </w:r>
      <w:r>
        <w:rPr>
          <w:rFonts w:hint="default" w:ascii="Times New Roman CYR" w:hAnsi="Times New Roman CYR" w:eastAsia="Times New Roman CYR"/>
          <w:sz w:val="22"/>
          <w:szCs w:val="24"/>
        </w:rPr>
        <w:t>04136, м.Київ, ПОДIЛЬСЬКИЙ р-н р-н, м.Київ, ВУЛ. МАРШАЛА ГРЕЧКА, 9Г, 0444436997</w:t>
      </w:r>
    </w:p>
    <w:p w14:paraId="512C017F">
      <w:pPr>
        <w:spacing w:beforeLines="0" w:afterLines="0"/>
        <w:jc w:val="left"/>
        <w:rPr>
          <w:rFonts w:hint="default" w:ascii="Times New Roman CYR" w:hAnsi="Times New Roman CYR" w:eastAsia="Times New Roman CYR"/>
          <w:sz w:val="24"/>
          <w:szCs w:val="24"/>
        </w:rPr>
      </w:pPr>
    </w:p>
    <w:p w14:paraId="5C257147">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1. Баланс</w:t>
      </w:r>
    </w:p>
    <w:p w14:paraId="0DF095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31.12.2015 p.</w:t>
      </w:r>
    </w:p>
    <w:p w14:paraId="3C8B0E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№1-мс</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874"/>
        <w:gridCol w:w="855"/>
        <w:gridCol w:w="645"/>
        <w:gridCol w:w="1000"/>
      </w:tblGrid>
      <w:tr w14:paraId="31AF1B0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500" w:type="dxa"/>
          <w:trHeight w:val="280" w:hRule="atLeast"/>
        </w:trPr>
        <w:tc>
          <w:tcPr>
            <w:tcW w:w="1500" w:type="dxa"/>
            <w:gridSpan w:val="2"/>
            <w:tcBorders>
              <w:top w:val="nil"/>
              <w:left w:val="nil"/>
              <w:bottom w:val="nil"/>
              <w:right w:val="single" w:color="auto" w:sz="6" w:space="0"/>
              <w:tl2br w:val="nil"/>
              <w:tr2bl w:val="nil"/>
            </w:tcBorders>
            <w:noWrap w:val="0"/>
            <w:vAlign w:val="center"/>
          </w:tcPr>
          <w:p w14:paraId="3BB42823">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C6A23B">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1801006</w:t>
            </w:r>
          </w:p>
        </w:tc>
      </w:tr>
      <w:tr w14:paraId="1C2752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B070C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Актив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F17F2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7E97F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року</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7CB80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7805074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D6643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7E9BA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B3610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A8244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7411FD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C198B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7E7637">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3DB9E7">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287A6D">
            <w:pPr>
              <w:spacing w:beforeLines="0" w:afterLines="0"/>
              <w:jc w:val="left"/>
              <w:rPr>
                <w:rFonts w:hint="default" w:ascii="Times New Roman CYR" w:hAnsi="Times New Roman CYR" w:eastAsia="Times New Roman CYR"/>
                <w:sz w:val="22"/>
                <w:szCs w:val="24"/>
              </w:rPr>
            </w:pPr>
          </w:p>
        </w:tc>
      </w:tr>
      <w:tr w14:paraId="6F458E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18FC6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засоби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521F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9C4B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5,9</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EB76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w:t>
            </w:r>
          </w:p>
        </w:tc>
      </w:tr>
      <w:tr w14:paraId="3D827D9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BC77E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первісна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940A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842A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215,5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ECBE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215,5</w:t>
            </w:r>
          </w:p>
        </w:tc>
      </w:tr>
      <w:tr w14:paraId="645A662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FE6F5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знос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8A41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A6DF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(209,6)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8C85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(214,3)</w:t>
            </w:r>
          </w:p>
        </w:tc>
      </w:tr>
      <w:tr w14:paraId="75E0DF6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0B596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672B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5E68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7E9B9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81473B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6AB1E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D017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0181B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5,9</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B9EF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w:t>
            </w:r>
          </w:p>
        </w:tc>
      </w:tr>
      <w:tr w14:paraId="7B0F388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AA370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9E7A80">
            <w:pPr>
              <w:spacing w:beforeLines="0" w:afterLines="0"/>
              <w:jc w:val="center"/>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314714">
            <w:pPr>
              <w:spacing w:beforeLines="0" w:afterLines="0"/>
              <w:jc w:val="center"/>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228A0A">
            <w:pPr>
              <w:spacing w:beforeLines="0" w:afterLines="0"/>
              <w:jc w:val="center"/>
              <w:rPr>
                <w:rFonts w:hint="default" w:ascii="Times New Roman CYR" w:hAnsi="Times New Roman CYR" w:eastAsia="Times New Roman CYR"/>
                <w:sz w:val="22"/>
                <w:szCs w:val="24"/>
              </w:rPr>
            </w:pPr>
          </w:p>
        </w:tc>
      </w:tr>
      <w:tr w14:paraId="214BE2E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9E17C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Запаси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3128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85D4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0CED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8A86DF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89318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Поточна дебіторська заборгованість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C3F6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533E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72,9</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F76D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28,7</w:t>
            </w:r>
          </w:p>
        </w:tc>
      </w:tr>
      <w:tr w14:paraId="5145AC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08CD0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Гроші та їх еквіваленти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DDDE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A2723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A029A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61,7</w:t>
            </w:r>
          </w:p>
        </w:tc>
      </w:tr>
      <w:tr w14:paraId="3CD434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50F96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AD2A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45AC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18E0C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E2BEB6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19CA0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888B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20FC0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133,9</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5D02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90,4</w:t>
            </w:r>
          </w:p>
        </w:tc>
      </w:tr>
      <w:tr w14:paraId="7EA2F86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534FA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DDC4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4A1B8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139,8</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23DF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91,6</w:t>
            </w:r>
          </w:p>
        </w:tc>
      </w:tr>
    </w:tbl>
    <w:p w14:paraId="4054CCA5">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1729"/>
        <w:gridCol w:w="1645"/>
      </w:tblGrid>
      <w:tr w14:paraId="3B01D99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7AECF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Пасив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B6BB4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50010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року</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D987A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22FFA05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984DC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22957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4996B0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979EC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04E5C53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FFD53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 Власний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B8E91C">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9E6FEF">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FDB6F1">
            <w:pPr>
              <w:spacing w:beforeLines="0" w:afterLines="0"/>
              <w:jc w:val="center"/>
              <w:rPr>
                <w:rFonts w:hint="default" w:ascii="Times New Roman CYR" w:hAnsi="Times New Roman CYR" w:eastAsia="Times New Roman CYR"/>
                <w:sz w:val="22"/>
                <w:szCs w:val="24"/>
              </w:rPr>
            </w:pPr>
          </w:p>
        </w:tc>
      </w:tr>
      <w:tr w14:paraId="562DAE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56D90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3477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1130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8667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3DF2C8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9C294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Нерозподілений прибуток (непокритий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1066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4E29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-279</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A484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-277,2</w:t>
            </w:r>
          </w:p>
        </w:tc>
      </w:tr>
      <w:tr w14:paraId="6B8A076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CC05A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Неоплачений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8AFF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0FD2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2D60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896F1D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76F09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CCB8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9FE3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-236,1</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CD63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-234,3</w:t>
            </w:r>
          </w:p>
        </w:tc>
      </w:tr>
      <w:tr w14:paraId="59FEEDA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4FBF1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 Довгострокові зобов`язання, цільове фінансування та забезпечення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51D0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7509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CC6F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81,7</w:t>
            </w:r>
          </w:p>
        </w:tc>
      </w:tr>
      <w:tr w14:paraId="01C3CC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A5D82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III. Поточні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0DFDD7">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5675A5">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0AB938">
            <w:pPr>
              <w:spacing w:beforeLines="0" w:afterLines="0"/>
              <w:jc w:val="center"/>
              <w:rPr>
                <w:rFonts w:hint="default" w:ascii="Times New Roman CYR" w:hAnsi="Times New Roman CYR" w:eastAsia="Times New Roman CYR"/>
                <w:sz w:val="22"/>
                <w:szCs w:val="24"/>
              </w:rPr>
            </w:pPr>
          </w:p>
        </w:tc>
      </w:tr>
      <w:tr w14:paraId="2AAD792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5E5CC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Короткострокові кредити банків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C29E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AB5A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8984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FEE33B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7CE3B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Поточна кредиторська заборгованість за: за товари, роботи, послуги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F346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4062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121,6</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BAD1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45,8</w:t>
            </w:r>
          </w:p>
        </w:tc>
      </w:tr>
      <w:tr w14:paraId="4A0868E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2AA1E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бюджетом</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2563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57A3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148,3</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AFA2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185,6</w:t>
            </w:r>
          </w:p>
        </w:tc>
      </w:tr>
      <w:tr w14:paraId="7287E33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9E28A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зі страхування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DFFB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6C30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0,8</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2E5E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w:t>
            </w:r>
          </w:p>
        </w:tc>
      </w:tr>
      <w:tr w14:paraId="172A57D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74A1A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оплати праці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4F54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1630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A794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5,2</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A74F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9,7</w:t>
            </w:r>
          </w:p>
        </w:tc>
      </w:tr>
      <w:tr w14:paraId="24E292F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2FA5C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поточні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873E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3921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CE81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1E2220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D24C4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III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B616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9A65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275,9</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1889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244,2</w:t>
            </w:r>
          </w:p>
        </w:tc>
      </w:tr>
      <w:tr w14:paraId="434DA94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8B1A1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896C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1FCF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139,8</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B44B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91,6</w:t>
            </w:r>
          </w:p>
        </w:tc>
      </w:tr>
    </w:tbl>
    <w:p w14:paraId="4184E542">
      <w:pPr>
        <w:spacing w:beforeLines="0" w:afterLines="0"/>
        <w:jc w:val="left"/>
        <w:rPr>
          <w:rFonts w:hint="default" w:ascii="Times New Roman CYR" w:hAnsi="Times New Roman CYR" w:eastAsia="Times New Roman CYR"/>
          <w:sz w:val="22"/>
          <w:szCs w:val="24"/>
        </w:rPr>
      </w:pPr>
    </w:p>
    <w:p w14:paraId="6189C6BB">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489B07B9">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2. Звіт про фінансові результати</w:t>
      </w:r>
    </w:p>
    <w:p w14:paraId="2FD03B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2015 рік</w:t>
      </w:r>
    </w:p>
    <w:p w14:paraId="2747A3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№2-мc</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874"/>
        <w:gridCol w:w="855"/>
        <w:gridCol w:w="645"/>
        <w:gridCol w:w="1000"/>
      </w:tblGrid>
      <w:tr w14:paraId="34A7089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500" w:type="dxa"/>
          <w:trHeight w:val="280" w:hRule="atLeast"/>
        </w:trPr>
        <w:tc>
          <w:tcPr>
            <w:tcW w:w="1500" w:type="dxa"/>
            <w:gridSpan w:val="2"/>
            <w:tcBorders>
              <w:top w:val="nil"/>
              <w:left w:val="nil"/>
              <w:bottom w:val="nil"/>
              <w:right w:val="single" w:color="auto" w:sz="6" w:space="0"/>
              <w:tl2br w:val="nil"/>
              <w:tr2bl w:val="nil"/>
            </w:tcBorders>
            <w:noWrap w:val="0"/>
            <w:vAlign w:val="center"/>
          </w:tcPr>
          <w:p w14:paraId="1068FF40">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BCD352">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1801007</w:t>
            </w:r>
          </w:p>
        </w:tc>
      </w:tr>
      <w:tr w14:paraId="3A81C9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C1956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AD071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A08A7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526CD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попередній період</w:t>
            </w:r>
          </w:p>
        </w:tc>
      </w:tr>
      <w:tr w14:paraId="44F394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28CAC4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A00DF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06049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2AB321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0172EB5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9CA2D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Чистий дохід від реалізації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15D3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6E85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64,4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6BF91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50,5</w:t>
            </w:r>
          </w:p>
        </w:tc>
      </w:tr>
      <w:tr w14:paraId="6FD986C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A9ED6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доходи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805D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F7AC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1634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2,8</w:t>
            </w:r>
          </w:p>
        </w:tc>
      </w:tr>
      <w:tr w14:paraId="10AC2FF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ACA91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Разом доходи </w:t>
            </w:r>
            <w:r>
              <w:rPr>
                <w:rFonts w:hint="default" w:ascii="Times New Roman CYR" w:hAnsi="Times New Roman CYR" w:eastAsia="Times New Roman CYR"/>
                <w:sz w:val="22"/>
                <w:szCs w:val="24"/>
              </w:rPr>
              <w:t>(2000 + 2160)</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4A70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2280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4A33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1383F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53,3</w:t>
            </w:r>
          </w:p>
        </w:tc>
      </w:tr>
      <w:tr w14:paraId="74CE45A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1E747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Собівартість реалізованої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A628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455EF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(37,8)</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851B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(34,7)</w:t>
            </w:r>
          </w:p>
        </w:tc>
      </w:tr>
      <w:tr w14:paraId="6E2FDA5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733F7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AB9E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1A5B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(129,4)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86BA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(76,2)</w:t>
            </w:r>
          </w:p>
        </w:tc>
      </w:tr>
      <w:tr w14:paraId="6958B4F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F94C4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Разом витрати </w:t>
            </w:r>
            <w:r>
              <w:rPr>
                <w:rFonts w:hint="default" w:ascii="Times New Roman CYR" w:hAnsi="Times New Roman CYR" w:eastAsia="Times New Roman CYR"/>
                <w:sz w:val="22"/>
                <w:szCs w:val="24"/>
              </w:rPr>
              <w:t>(2050 + 2165)</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40D6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2285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092E7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(167,2)</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8737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(110,9)</w:t>
            </w:r>
          </w:p>
        </w:tc>
      </w:tr>
      <w:tr w14:paraId="3108B9A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7F665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Фінансовий результат до оподаткування (2280 - 2285)</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2FA3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8856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2C78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-57,6</w:t>
            </w:r>
          </w:p>
        </w:tc>
      </w:tr>
      <w:tr w14:paraId="26EC231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BCB06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Податок на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A34F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D8D69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C84C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w:t>
            </w:r>
          </w:p>
        </w:tc>
      </w:tr>
      <w:tr w14:paraId="2F8F1F6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9A97D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Витрати (доходи), які зменшують (збільшують) фінансовий результат після оподаткування </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86EB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F824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4C9C3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8E3A56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CE9A8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Чистий прибуток (збиток) </w:t>
            </w:r>
            <w:r>
              <w:rPr>
                <w:rFonts w:hint="default" w:ascii="Times New Roman CYR" w:hAnsi="Times New Roman CYR" w:eastAsia="Times New Roman CYR"/>
                <w:sz w:val="22"/>
                <w:szCs w:val="24"/>
              </w:rPr>
              <w:t>(2290 - 2300 - (+) 2310)</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5292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34D0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4C8B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-57,7</w:t>
            </w:r>
          </w:p>
        </w:tc>
      </w:tr>
    </w:tbl>
    <w:p w14:paraId="2DB2A77D">
      <w:pPr>
        <w:spacing w:beforeLines="0" w:afterLines="0"/>
        <w:jc w:val="left"/>
        <w:rPr>
          <w:rFonts w:hint="default" w:ascii="Times New Roman CYR" w:hAnsi="Times New Roman CYR" w:eastAsia="Times New Roman CYR"/>
          <w:sz w:val="22"/>
          <w:szCs w:val="24"/>
        </w:rPr>
      </w:pPr>
    </w:p>
    <w:p w14:paraId="5998FBF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Керівник</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Наумчук Вiктор Михайлович</w:t>
      </w:r>
    </w:p>
    <w:p w14:paraId="2408408C">
      <w:pPr>
        <w:spacing w:beforeLines="0" w:afterLines="0"/>
        <w:jc w:val="left"/>
        <w:rPr>
          <w:rFonts w:hint="default" w:ascii="Times New Roman CYR" w:hAnsi="Times New Roman CYR" w:eastAsia="Times New Roman CYR"/>
          <w:sz w:val="22"/>
          <w:szCs w:val="24"/>
        </w:rPr>
      </w:pPr>
    </w:p>
    <w:p w14:paraId="08FE941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Головний бухгалтер</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p>
    <w:p w14:paraId="3B623EBF">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34FA12D6">
      <w:pPr>
        <w:spacing w:beforeLines="0" w:afterLines="0"/>
        <w:jc w:val="left"/>
        <w:rPr>
          <w:rFonts w:hint="default" w:ascii="Times New Roman CYR" w:hAnsi="Times New Roman CYR" w:eastAsia="Times New Roman CYR"/>
          <w:sz w:val="22"/>
          <w:szCs w:val="24"/>
        </w:rPr>
      </w:pPr>
    </w:p>
    <w:p w14:paraId="37B63A6B">
      <w:pPr>
        <w:spacing w:beforeLines="0" w:afterLines="0"/>
        <w:jc w:val="left"/>
        <w:rPr>
          <w:rFonts w:hint="default" w:ascii="Times New Roman CYR" w:hAnsi="Times New Roman CYR" w:eastAsia="Times New Roman CYR"/>
          <w:sz w:val="22"/>
          <w:szCs w:val="24"/>
        </w:rPr>
      </w:pPr>
    </w:p>
    <w:sectPr>
      <w:pgSz w:w="12240" w:h="15840"/>
      <w:pgMar w:top="570" w:right="720" w:bottom="570" w:left="72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imes New Roman CYR">
    <w:altName w:val="Times New Roman"/>
    <w:panose1 w:val="00000000000000000000"/>
    <w:charset w:val="CC"/>
    <w:family w:val="roman"/>
    <w:pitch w:val="default"/>
    <w:sig w:usb0="00000000" w:usb1="00000000"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1880D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TotalTime>0</TotalTime>
  <ScaleCrop>false</ScaleCrop>
  <LinksUpToDate>false</LinksUpToDate>
  <Application>WPS Office_12.2.0.23131_F1E327BC-269C-435d-A152-05C5408002CA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2026-04-07T07:43:55Z</dcterms:created>
  <dc:creator>Дмитро</dc:creator>
  <cp:lastModifiedBy>Дмитро</cp:lastModifiedBy>
  <dcterms:modified xsi:type="dcterms:W3CDTF">2026-04-07T07:45:19Z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A10BA64885FC45B2837AD456142655FC_13</vt:lpwstr>
  </property>
</Properties>
</file>