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41C35A8">
      <w:pPr>
        <w:spacing w:beforeLines="0" w:afterLines="0"/>
        <w:jc w:val="center"/>
        <w:rPr>
          <w:rFonts w:hint="default"/>
          <w:sz w:val="28"/>
          <w:szCs w:val="24"/>
        </w:rPr>
      </w:pPr>
      <w:r>
        <w:rPr>
          <w:rFonts w:hint="default"/>
          <w:b/>
          <w:sz w:val="28"/>
          <w:szCs w:val="24"/>
        </w:rPr>
        <w:t>Титульний аркуш</w:t>
      </w:r>
    </w:p>
    <w:p w14:paraId="4D48804C">
      <w:pPr>
        <w:spacing w:beforeLines="0" w:afterLines="0"/>
        <w:jc w:val="center"/>
        <w:rPr>
          <w:rFonts w:hint="default"/>
          <w:sz w:val="28"/>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230"/>
      </w:tblGrid>
      <w:tr w14:paraId="713BE0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19D43E3F">
            <w:pPr>
              <w:spacing w:beforeLines="0" w:afterLines="0"/>
              <w:jc w:val="center"/>
              <w:rPr>
                <w:rFonts w:hint="default"/>
                <w:sz w:val="24"/>
                <w:szCs w:val="24"/>
              </w:rPr>
            </w:pPr>
            <w:r>
              <w:rPr>
                <w:rFonts w:hint="default"/>
                <w:sz w:val="24"/>
                <w:szCs w:val="24"/>
              </w:rPr>
              <w:t>07.04.2026</w:t>
            </w:r>
          </w:p>
        </w:tc>
      </w:tr>
      <w:tr w14:paraId="4586518A">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47B8E843">
            <w:pPr>
              <w:spacing w:beforeLines="0" w:afterLines="0"/>
              <w:jc w:val="center"/>
              <w:rPr>
                <w:rFonts w:hint="default"/>
                <w:sz w:val="20"/>
                <w:szCs w:val="24"/>
              </w:rPr>
            </w:pPr>
            <w:r>
              <w:rPr>
                <w:rFonts w:hint="default"/>
                <w:sz w:val="20"/>
                <w:szCs w:val="24"/>
              </w:rPr>
              <w:t>(дата реєстрації особою електронного документа)</w:t>
            </w:r>
          </w:p>
        </w:tc>
      </w:tr>
      <w:tr w14:paraId="132877F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112682CA">
            <w:pPr>
              <w:spacing w:beforeLines="0" w:afterLines="0"/>
              <w:jc w:val="center"/>
              <w:rPr>
                <w:rFonts w:hint="default"/>
                <w:sz w:val="24"/>
                <w:szCs w:val="24"/>
              </w:rPr>
            </w:pPr>
            <w:r>
              <w:rPr>
                <w:rFonts w:hint="default"/>
                <w:sz w:val="24"/>
                <w:szCs w:val="24"/>
              </w:rPr>
              <w:t>09/20</w:t>
            </w:r>
          </w:p>
        </w:tc>
      </w:tr>
      <w:tr w14:paraId="19D6A61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1A250161">
            <w:pPr>
              <w:spacing w:beforeLines="0" w:afterLines="0"/>
              <w:jc w:val="center"/>
              <w:rPr>
                <w:rFonts w:hint="default"/>
                <w:sz w:val="20"/>
                <w:szCs w:val="24"/>
              </w:rPr>
            </w:pPr>
            <w:r>
              <w:rPr>
                <w:rFonts w:hint="default"/>
                <w:sz w:val="20"/>
                <w:szCs w:val="24"/>
              </w:rPr>
              <w:t>(вихідний реєстраційний номер електронного документа)</w:t>
            </w:r>
          </w:p>
        </w:tc>
      </w:tr>
    </w:tbl>
    <w:p w14:paraId="18A92E55">
      <w:pPr>
        <w:spacing w:beforeLines="0" w:afterLines="0"/>
        <w:jc w:val="left"/>
        <w:rPr>
          <w:rFonts w:hint="default"/>
          <w:sz w:val="20"/>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0465"/>
      </w:tblGrid>
      <w:tr w14:paraId="3D248E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tcBorders>
              <w:top w:val="nil"/>
              <w:left w:val="nil"/>
              <w:bottom w:val="nil"/>
              <w:right w:val="nil"/>
              <w:tl2br w:val="nil"/>
              <w:tr2bl w:val="nil"/>
            </w:tcBorders>
            <w:noWrap w:val="0"/>
            <w:vAlign w:val="bottom"/>
          </w:tcPr>
          <w:p w14:paraId="4128DE3D">
            <w:pPr>
              <w:spacing w:beforeLines="0" w:afterLines="0"/>
              <w:jc w:val="left"/>
              <w:rPr>
                <w:rFonts w:hint="default"/>
                <w:sz w:val="24"/>
                <w:szCs w:val="24"/>
              </w:rPr>
            </w:pPr>
            <w:r>
              <w:rPr>
                <w:rFonts w:hint="default"/>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667FAACB">
      <w:pPr>
        <w:spacing w:beforeLines="0" w:afterLines="0"/>
        <w:jc w:val="left"/>
        <w:rPr>
          <w:rFonts w:hint="default"/>
          <w:sz w:val="24"/>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0"/>
        <w:gridCol w:w="3500"/>
        <w:gridCol w:w="50"/>
        <w:gridCol w:w="3450"/>
      </w:tblGrid>
      <w:tr w14:paraId="5D83160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single" w:color="auto" w:sz="6" w:space="0"/>
              <w:right w:val="nil"/>
              <w:tl2br w:val="nil"/>
              <w:tr2bl w:val="nil"/>
            </w:tcBorders>
            <w:noWrap w:val="0"/>
            <w:vAlign w:val="bottom"/>
          </w:tcPr>
          <w:p w14:paraId="53140CA9">
            <w:pPr>
              <w:spacing w:beforeLines="0" w:afterLines="0"/>
              <w:jc w:val="center"/>
              <w:rPr>
                <w:rFonts w:hint="default"/>
                <w:sz w:val="24"/>
                <w:szCs w:val="24"/>
              </w:rPr>
            </w:pPr>
            <w:r>
              <w:rPr>
                <w:rFonts w:hint="default"/>
                <w:sz w:val="24"/>
                <w:szCs w:val="24"/>
              </w:rPr>
              <w:t>Директор</w:t>
            </w:r>
          </w:p>
        </w:tc>
        <w:tc>
          <w:tcPr>
            <w:tcW w:w="50" w:type="dxa"/>
            <w:tcBorders>
              <w:top w:val="nil"/>
              <w:left w:val="nil"/>
              <w:bottom w:val="nil"/>
              <w:right w:val="nil"/>
              <w:tl2br w:val="nil"/>
              <w:tr2bl w:val="nil"/>
            </w:tcBorders>
            <w:noWrap w:val="0"/>
            <w:vAlign w:val="top"/>
          </w:tcPr>
          <w:p w14:paraId="50EE53F5">
            <w:pPr>
              <w:spacing w:beforeLines="0" w:afterLines="0"/>
              <w:jc w:val="center"/>
              <w:rPr>
                <w:rFonts w:hint="default"/>
                <w:sz w:val="24"/>
                <w:szCs w:val="24"/>
              </w:rPr>
            </w:pPr>
          </w:p>
        </w:tc>
        <w:tc>
          <w:tcPr>
            <w:tcW w:w="3500" w:type="dxa"/>
            <w:tcBorders>
              <w:top w:val="nil"/>
              <w:left w:val="nil"/>
              <w:bottom w:val="single" w:color="auto" w:sz="6" w:space="0"/>
              <w:right w:val="nil"/>
              <w:tl2br w:val="nil"/>
              <w:tr2bl w:val="nil"/>
            </w:tcBorders>
            <w:noWrap w:val="0"/>
            <w:vAlign w:val="bottom"/>
          </w:tcPr>
          <w:p w14:paraId="1FD7F654">
            <w:pPr>
              <w:spacing w:beforeLines="0" w:afterLines="0"/>
              <w:jc w:val="center"/>
              <w:rPr>
                <w:rFonts w:hint="default"/>
                <w:sz w:val="24"/>
                <w:szCs w:val="24"/>
              </w:rPr>
            </w:pPr>
          </w:p>
        </w:tc>
        <w:tc>
          <w:tcPr>
            <w:tcW w:w="50" w:type="dxa"/>
            <w:tcBorders>
              <w:top w:val="nil"/>
              <w:left w:val="nil"/>
              <w:bottom w:val="nil"/>
              <w:right w:val="nil"/>
              <w:tl2br w:val="nil"/>
              <w:tr2bl w:val="nil"/>
            </w:tcBorders>
            <w:noWrap w:val="0"/>
            <w:vAlign w:val="top"/>
          </w:tcPr>
          <w:p w14:paraId="69C29BD9">
            <w:pPr>
              <w:spacing w:beforeLines="0" w:afterLines="0"/>
              <w:jc w:val="center"/>
              <w:rPr>
                <w:rFonts w:hint="default"/>
                <w:sz w:val="24"/>
                <w:szCs w:val="24"/>
              </w:rPr>
            </w:pPr>
          </w:p>
        </w:tc>
        <w:tc>
          <w:tcPr>
            <w:tcW w:w="3450" w:type="dxa"/>
            <w:tcBorders>
              <w:top w:val="nil"/>
              <w:left w:val="nil"/>
              <w:bottom w:val="single" w:color="auto" w:sz="6" w:space="0"/>
              <w:right w:val="nil"/>
              <w:tl2br w:val="nil"/>
              <w:tr2bl w:val="nil"/>
            </w:tcBorders>
            <w:noWrap w:val="0"/>
            <w:vAlign w:val="bottom"/>
          </w:tcPr>
          <w:p w14:paraId="49010925">
            <w:pPr>
              <w:spacing w:beforeLines="0" w:afterLines="0"/>
              <w:jc w:val="center"/>
              <w:rPr>
                <w:rFonts w:hint="default"/>
                <w:sz w:val="24"/>
                <w:szCs w:val="24"/>
              </w:rPr>
            </w:pPr>
            <w:r>
              <w:rPr>
                <w:rFonts w:hint="default"/>
                <w:sz w:val="24"/>
                <w:szCs w:val="24"/>
              </w:rPr>
              <w:t>Наумчук Вiктор Михайлович</w:t>
            </w:r>
          </w:p>
        </w:tc>
      </w:tr>
      <w:tr w14:paraId="1E770C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nil"/>
              <w:right w:val="nil"/>
              <w:tl2br w:val="nil"/>
              <w:tr2bl w:val="nil"/>
            </w:tcBorders>
            <w:noWrap w:val="0"/>
            <w:vAlign w:val="top"/>
          </w:tcPr>
          <w:p w14:paraId="0081259E">
            <w:pPr>
              <w:spacing w:beforeLines="0" w:afterLines="0"/>
              <w:jc w:val="center"/>
              <w:rPr>
                <w:rFonts w:hint="default"/>
                <w:sz w:val="20"/>
                <w:szCs w:val="24"/>
              </w:rPr>
            </w:pPr>
            <w:r>
              <w:rPr>
                <w:rFonts w:hint="default"/>
                <w:sz w:val="20"/>
                <w:szCs w:val="24"/>
              </w:rPr>
              <w:t>(посада)</w:t>
            </w:r>
          </w:p>
        </w:tc>
        <w:tc>
          <w:tcPr>
            <w:tcW w:w="50" w:type="dxa"/>
            <w:tcBorders>
              <w:top w:val="nil"/>
              <w:left w:val="nil"/>
              <w:bottom w:val="nil"/>
              <w:right w:val="nil"/>
              <w:tl2br w:val="nil"/>
              <w:tr2bl w:val="nil"/>
            </w:tcBorders>
            <w:noWrap w:val="0"/>
            <w:vAlign w:val="top"/>
          </w:tcPr>
          <w:p w14:paraId="2C708AE9">
            <w:pPr>
              <w:spacing w:beforeLines="0" w:afterLines="0"/>
              <w:jc w:val="center"/>
              <w:rPr>
                <w:rFonts w:hint="default"/>
                <w:sz w:val="20"/>
                <w:szCs w:val="24"/>
              </w:rPr>
            </w:pPr>
          </w:p>
        </w:tc>
        <w:tc>
          <w:tcPr>
            <w:tcW w:w="3500" w:type="dxa"/>
            <w:tcBorders>
              <w:top w:val="nil"/>
              <w:left w:val="nil"/>
              <w:bottom w:val="nil"/>
              <w:right w:val="nil"/>
              <w:tl2br w:val="nil"/>
              <w:tr2bl w:val="nil"/>
            </w:tcBorders>
            <w:noWrap w:val="0"/>
            <w:vAlign w:val="top"/>
          </w:tcPr>
          <w:p w14:paraId="6AF282FB">
            <w:pPr>
              <w:spacing w:beforeLines="0" w:afterLines="0"/>
              <w:jc w:val="center"/>
              <w:rPr>
                <w:rFonts w:hint="default"/>
                <w:sz w:val="20"/>
                <w:szCs w:val="24"/>
              </w:rPr>
            </w:pPr>
            <w:r>
              <w:rPr>
                <w:rFonts w:hint="default"/>
                <w:sz w:val="20"/>
                <w:szCs w:val="24"/>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50" w:type="dxa"/>
            <w:tcBorders>
              <w:top w:val="nil"/>
              <w:left w:val="nil"/>
              <w:bottom w:val="nil"/>
              <w:right w:val="nil"/>
              <w:tl2br w:val="nil"/>
              <w:tr2bl w:val="nil"/>
            </w:tcBorders>
            <w:noWrap w:val="0"/>
            <w:vAlign w:val="top"/>
          </w:tcPr>
          <w:p w14:paraId="7CF57A9B">
            <w:pPr>
              <w:spacing w:beforeLines="0" w:afterLines="0"/>
              <w:jc w:val="center"/>
              <w:rPr>
                <w:rFonts w:hint="default"/>
                <w:sz w:val="20"/>
                <w:szCs w:val="24"/>
              </w:rPr>
            </w:pPr>
          </w:p>
        </w:tc>
        <w:tc>
          <w:tcPr>
            <w:tcW w:w="3450" w:type="dxa"/>
            <w:tcBorders>
              <w:top w:val="nil"/>
              <w:left w:val="nil"/>
              <w:bottom w:val="nil"/>
              <w:right w:val="nil"/>
              <w:tl2br w:val="nil"/>
              <w:tr2bl w:val="nil"/>
            </w:tcBorders>
            <w:noWrap w:val="0"/>
            <w:vAlign w:val="top"/>
          </w:tcPr>
          <w:p w14:paraId="1286FD78">
            <w:pPr>
              <w:spacing w:beforeLines="0" w:afterLines="0"/>
              <w:jc w:val="center"/>
              <w:rPr>
                <w:rFonts w:hint="default"/>
                <w:sz w:val="20"/>
                <w:szCs w:val="24"/>
              </w:rPr>
            </w:pPr>
            <w:r>
              <w:rPr>
                <w:rFonts w:hint="default"/>
                <w:sz w:val="20"/>
                <w:szCs w:val="24"/>
              </w:rPr>
              <w:t>(прізвище та ініціали керівника або уповноваженої особи)</w:t>
            </w:r>
          </w:p>
        </w:tc>
      </w:tr>
    </w:tbl>
    <w:p w14:paraId="2219E96F">
      <w:pPr>
        <w:spacing w:beforeLines="0" w:afterLines="0"/>
        <w:jc w:val="left"/>
        <w:rPr>
          <w:rFonts w:hint="default"/>
          <w:sz w:val="20"/>
          <w:szCs w:val="24"/>
        </w:rPr>
      </w:pPr>
    </w:p>
    <w:p w14:paraId="7ED9E76A">
      <w:pPr>
        <w:spacing w:beforeLines="0" w:afterLines="0"/>
        <w:jc w:val="center"/>
        <w:rPr>
          <w:rFonts w:hint="default"/>
          <w:b/>
          <w:sz w:val="24"/>
          <w:szCs w:val="24"/>
        </w:rPr>
      </w:pPr>
      <w:bookmarkStart w:id="0" w:name="_GoBack"/>
      <w:r>
        <w:rPr>
          <w:rFonts w:hint="default"/>
          <w:b/>
          <w:sz w:val="24"/>
          <w:szCs w:val="24"/>
        </w:rPr>
        <w:t>Річний звіт</w:t>
      </w:r>
      <w:bookmarkEnd w:id="0"/>
    </w:p>
    <w:p w14:paraId="4993A497">
      <w:pPr>
        <w:spacing w:beforeLines="0" w:afterLines="0"/>
        <w:jc w:val="center"/>
        <w:rPr>
          <w:rFonts w:hint="default"/>
          <w:b/>
          <w:sz w:val="24"/>
          <w:szCs w:val="24"/>
        </w:rPr>
      </w:pPr>
      <w:r>
        <w:rPr>
          <w:rFonts w:hint="default"/>
          <w:b/>
          <w:sz w:val="24"/>
          <w:szCs w:val="24"/>
        </w:rPr>
        <w:t>ПРИВАТНЕ АКЦIОНЕРНЕ ТОВАРИСТВО "СПМК-523" (01354473)</w:t>
      </w:r>
    </w:p>
    <w:p w14:paraId="6A66DB94">
      <w:pPr>
        <w:spacing w:beforeLines="0" w:afterLines="0"/>
        <w:jc w:val="center"/>
        <w:rPr>
          <w:rFonts w:hint="default"/>
          <w:b/>
          <w:sz w:val="24"/>
          <w:szCs w:val="24"/>
        </w:rPr>
      </w:pPr>
      <w:r>
        <w:rPr>
          <w:rFonts w:hint="default"/>
          <w:b/>
          <w:sz w:val="24"/>
          <w:szCs w:val="24"/>
        </w:rPr>
        <w:t>за 2020 рік</w:t>
      </w:r>
    </w:p>
    <w:p w14:paraId="47B02888">
      <w:pPr>
        <w:spacing w:beforeLines="0" w:afterLines="0"/>
        <w:jc w:val="center"/>
        <w:rPr>
          <w:rFonts w:hint="default"/>
          <w:b/>
          <w:sz w:val="24"/>
          <w:szCs w:val="24"/>
        </w:rPr>
      </w:pPr>
    </w:p>
    <w:p w14:paraId="3FFB1BD1">
      <w:pPr>
        <w:spacing w:beforeLines="0" w:afterLines="0"/>
        <w:rPr>
          <w:rFonts w:hint="default"/>
          <w:sz w:val="24"/>
          <w:szCs w:val="24"/>
        </w:rPr>
      </w:pPr>
      <w:r>
        <w:rPr>
          <w:rFonts w:hint="default"/>
          <w:sz w:val="24"/>
          <w:szCs w:val="24"/>
        </w:rPr>
        <w:t>Рішення про затвердження річного звіту: Рiчний звiт затверджено Директором. Засiдання Наглядової ради щодо затвердження рiчного звiту не скликались.</w:t>
      </w:r>
    </w:p>
    <w:p w14:paraId="4532FF18">
      <w:pPr>
        <w:spacing w:beforeLines="0" w:afterLines="0"/>
        <w:jc w:val="left"/>
        <w:rPr>
          <w:rFonts w:hint="default"/>
          <w:sz w:val="24"/>
          <w:szCs w:val="24"/>
        </w:rPr>
      </w:pPr>
      <w:r>
        <w:rPr>
          <w:rFonts w:hint="default"/>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4D54EF3A">
      <w:pPr>
        <w:spacing w:beforeLines="0" w:afterLines="0"/>
        <w:jc w:val="left"/>
        <w:rPr>
          <w:rFonts w:hint="default"/>
          <w:sz w:val="24"/>
          <w:szCs w:val="24"/>
        </w:rPr>
      </w:pPr>
      <w:r>
        <w:rPr>
          <w:rFonts w:hint="default"/>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50A6B11C">
      <w:pPr>
        <w:spacing w:beforeLines="0" w:afterLines="0"/>
        <w:jc w:val="left"/>
        <w:rPr>
          <w:rFonts w:hint="default"/>
          <w:sz w:val="24"/>
          <w:szCs w:val="24"/>
        </w:rPr>
      </w:pPr>
    </w:p>
    <w:p w14:paraId="4E4D13E1">
      <w:pPr>
        <w:spacing w:beforeLines="0" w:afterLines="0"/>
        <w:rPr>
          <w:rFonts w:hint="default"/>
          <w:sz w:val="24"/>
          <w:szCs w:val="24"/>
        </w:rPr>
      </w:pPr>
      <w:r>
        <w:rPr>
          <w:rFonts w:hint="default"/>
          <w:sz w:val="24"/>
          <w:szCs w:val="24"/>
        </w:rPr>
        <w:t>Дані про дату та місце оприлюднення річної інформації:</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165"/>
        <w:gridCol w:w="1885"/>
      </w:tblGrid>
      <w:tr w14:paraId="36FF0C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restart"/>
            <w:tcBorders>
              <w:top w:val="nil"/>
              <w:left w:val="nil"/>
              <w:bottom w:val="nil"/>
              <w:right w:val="nil"/>
              <w:tl2br w:val="nil"/>
              <w:tr2bl w:val="nil"/>
            </w:tcBorders>
            <w:noWrap w:val="0"/>
            <w:vAlign w:val="top"/>
          </w:tcPr>
          <w:p w14:paraId="1EC3FB36">
            <w:pPr>
              <w:spacing w:beforeLines="0" w:afterLines="0"/>
              <w:jc w:val="left"/>
              <w:rPr>
                <w:rFonts w:hint="default"/>
                <w:sz w:val="24"/>
                <w:szCs w:val="24"/>
              </w:rPr>
            </w:pPr>
            <w:r>
              <w:rPr>
                <w:rFonts w:hint="default"/>
                <w:sz w:val="24"/>
                <w:szCs w:val="24"/>
              </w:rPr>
              <w:t>Річну інформацію розміщено на власному вебсайті емітента</w:t>
            </w:r>
          </w:p>
        </w:tc>
        <w:tc>
          <w:tcPr>
            <w:tcW w:w="5165" w:type="dxa"/>
            <w:tcBorders>
              <w:top w:val="nil"/>
              <w:left w:val="nil"/>
              <w:bottom w:val="single" w:color="auto" w:sz="6" w:space="0"/>
              <w:right w:val="nil"/>
              <w:tl2br w:val="nil"/>
              <w:tr2bl w:val="nil"/>
            </w:tcBorders>
            <w:noWrap w:val="0"/>
            <w:vAlign w:val="bottom"/>
          </w:tcPr>
          <w:p w14:paraId="67ACD674">
            <w:pPr>
              <w:spacing w:beforeLines="0" w:afterLines="0"/>
              <w:jc w:val="center"/>
              <w:rPr>
                <w:rFonts w:hint="default"/>
                <w:sz w:val="24"/>
                <w:szCs w:val="24"/>
              </w:rPr>
            </w:pPr>
            <w:r>
              <w:rPr>
                <w:rFonts w:hint="default"/>
                <w:sz w:val="24"/>
                <w:szCs w:val="24"/>
              </w:rPr>
              <w:t>http://spmk523.emitents.net.ua/ua/docs/?fg_id=100</w:t>
            </w:r>
          </w:p>
        </w:tc>
        <w:tc>
          <w:tcPr>
            <w:tcW w:w="1885" w:type="dxa"/>
            <w:tcBorders>
              <w:top w:val="nil"/>
              <w:left w:val="nil"/>
              <w:bottom w:val="single" w:color="auto" w:sz="6" w:space="0"/>
              <w:right w:val="nil"/>
              <w:tl2br w:val="nil"/>
              <w:tr2bl w:val="nil"/>
            </w:tcBorders>
            <w:noWrap w:val="0"/>
            <w:vAlign w:val="bottom"/>
          </w:tcPr>
          <w:p w14:paraId="165C0FB0">
            <w:pPr>
              <w:spacing w:beforeLines="0" w:afterLines="0"/>
              <w:jc w:val="center"/>
              <w:rPr>
                <w:rFonts w:hint="default"/>
                <w:sz w:val="24"/>
                <w:szCs w:val="24"/>
              </w:rPr>
            </w:pPr>
            <w:r>
              <w:rPr>
                <w:rFonts w:hint="default"/>
                <w:sz w:val="24"/>
                <w:szCs w:val="24"/>
              </w:rPr>
              <w:t>07.04.2026</w:t>
            </w:r>
          </w:p>
        </w:tc>
      </w:tr>
      <w:tr w14:paraId="1E11AE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continue"/>
            <w:tcBorders>
              <w:top w:val="nil"/>
              <w:left w:val="nil"/>
              <w:bottom w:val="nil"/>
              <w:right w:val="nil"/>
              <w:tl2br w:val="nil"/>
              <w:tr2bl w:val="nil"/>
            </w:tcBorders>
            <w:noWrap w:val="0"/>
            <w:vAlign w:val="top"/>
          </w:tcPr>
          <w:p w14:paraId="03B9AAAC">
            <w:pPr>
              <w:spacing w:beforeLines="0" w:afterLines="0"/>
              <w:jc w:val="left"/>
              <w:rPr>
                <w:rFonts w:hint="default"/>
                <w:sz w:val="20"/>
                <w:szCs w:val="24"/>
              </w:rPr>
            </w:pPr>
          </w:p>
        </w:tc>
        <w:tc>
          <w:tcPr>
            <w:tcW w:w="5165" w:type="dxa"/>
            <w:tcBorders>
              <w:top w:val="nil"/>
              <w:left w:val="nil"/>
              <w:bottom w:val="nil"/>
              <w:right w:val="nil"/>
              <w:tl2br w:val="nil"/>
              <w:tr2bl w:val="nil"/>
            </w:tcBorders>
            <w:noWrap w:val="0"/>
            <w:vAlign w:val="bottom"/>
          </w:tcPr>
          <w:p w14:paraId="0F5ABD4A">
            <w:pPr>
              <w:spacing w:beforeLines="0" w:afterLines="0"/>
              <w:jc w:val="center"/>
              <w:rPr>
                <w:rFonts w:hint="default"/>
                <w:sz w:val="20"/>
                <w:szCs w:val="24"/>
              </w:rPr>
            </w:pPr>
            <w:r>
              <w:rPr>
                <w:rFonts w:hint="default"/>
                <w:sz w:val="20"/>
                <w:szCs w:val="24"/>
              </w:rPr>
              <w:t>(URL-адреса вебсайту)</w:t>
            </w:r>
          </w:p>
        </w:tc>
        <w:tc>
          <w:tcPr>
            <w:tcW w:w="1885" w:type="dxa"/>
            <w:tcBorders>
              <w:top w:val="nil"/>
              <w:left w:val="nil"/>
              <w:bottom w:val="nil"/>
              <w:right w:val="nil"/>
              <w:tl2br w:val="nil"/>
              <w:tr2bl w:val="nil"/>
            </w:tcBorders>
            <w:noWrap w:val="0"/>
            <w:vAlign w:val="bottom"/>
          </w:tcPr>
          <w:p w14:paraId="00F85B9E">
            <w:pPr>
              <w:spacing w:beforeLines="0" w:afterLines="0"/>
              <w:jc w:val="center"/>
              <w:rPr>
                <w:rFonts w:hint="default"/>
                <w:sz w:val="20"/>
                <w:szCs w:val="24"/>
              </w:rPr>
            </w:pPr>
            <w:r>
              <w:rPr>
                <w:rFonts w:hint="default"/>
                <w:sz w:val="20"/>
                <w:szCs w:val="24"/>
              </w:rPr>
              <w:t>(дата)</w:t>
            </w:r>
          </w:p>
        </w:tc>
      </w:tr>
    </w:tbl>
    <w:p w14:paraId="61B9905A">
      <w:pPr>
        <w:spacing w:beforeLines="0" w:afterLines="0"/>
        <w:jc w:val="left"/>
        <w:rPr>
          <w:rFonts w:hint="default"/>
          <w:sz w:val="20"/>
          <w:szCs w:val="24"/>
        </w:rPr>
        <w:sectPr>
          <w:pgSz w:w="12240" w:h="15840"/>
          <w:pgMar w:top="570" w:right="720" w:bottom="570" w:left="720" w:header="720" w:footer="720" w:gutter="0"/>
          <w:lnNumType w:countBy="0" w:distance="360"/>
          <w:cols w:space="720" w:num="1"/>
        </w:sectPr>
      </w:pPr>
    </w:p>
    <w:p w14:paraId="42AEFD0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Пояснення щодо розкриття інформації</w:t>
      </w:r>
    </w:p>
    <w:p w14:paraId="76FDCA6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усiх випускiв цiнних паперiв, за якими надається забезпечення не надається, тому що Товариство не має цiнних паперiв, за якими надається забезпечення.</w:t>
      </w:r>
    </w:p>
    <w:p w14:paraId="75E2F71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всiх осiб, якi надають забезпечення за зобов'язаннями емiтента не надається, тому що таких осiб немає.</w:t>
      </w:r>
    </w:p>
    <w:p w14:paraId="5B8ABF5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рейтингове агентство не надається, тому що Товариство не визначало свiй кредитний рейтинг або рейтинг цiнних паперiв.</w:t>
      </w:r>
    </w:p>
    <w:p w14:paraId="232C6E9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судовi справи емiтета не надається, тому в звiтному роцi судових справ не було.</w:t>
      </w:r>
    </w:p>
    <w:p w14:paraId="6E4BF35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штрафнi санкцiї не надається, тому що штрафних санкцiй у розмiрi, який перевищує 1000 грн., у звiтному перiодi не було.</w:t>
      </w:r>
    </w:p>
    <w:p w14:paraId="6A2F216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Посадовi особи Товариства не надали згоди на розкриття своїх персональних даних.</w:t>
      </w:r>
    </w:p>
    <w:p w14:paraId="331186A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корпоративного секретаря не надається, тому що корпоративний секретар не обирався згiдно iз ч.1 ст. 85 Закону України "Про акцiонернi товариства".</w:t>
      </w:r>
    </w:p>
    <w:p w14:paraId="58A862D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отриманих лiцензiй не надається, тому що Товариство не має лiцензiй.</w:t>
      </w:r>
    </w:p>
    <w:p w14:paraId="28FB1F3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основнi засоби (за залишковою вартiстю) не надається, тому що основнi засоби мають знос 100%, залишкова вартiсть - 0.</w:t>
      </w:r>
    </w:p>
    <w:p w14:paraId="40E8A58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вiдноситься до пiдприємств, якi займаються видами дiяльностi, що класифiкуються як переробна, добувна промисловiсть або</w:t>
      </w:r>
    </w:p>
    <w:p w14:paraId="2B02CD2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виробництво та розподiлення електроенергiї, газу та води за класифiкатором видiв економiчної дiяльностi.</w:t>
      </w:r>
    </w:p>
    <w:p w14:paraId="1E83B45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бере участi в iнших юридичних особах, тому iнформацiя не надається.</w:t>
      </w:r>
    </w:p>
    <w:p w14:paraId="72E711B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вiдокремленi пiдроздiли не надається, тому що Товариство не має фiлiалiв або iнших вiдокремлених пiдроздiлiв.</w:t>
      </w:r>
    </w:p>
    <w:p w14:paraId="195B855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Змiн прав на акцiї не було, тому iнформацiя не надається.</w:t>
      </w:r>
    </w:p>
    <w:p w14:paraId="38CD572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Уточнення щодо наявностi обмежень за акцiями не надається, тому що Товариство не має викуплених акцiй та iнших не голосуючих акцiй.</w:t>
      </w:r>
    </w:p>
    <w:p w14:paraId="288765D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облiгацiї не надається, тому що Товариство не випускало облiгацiй.</w:t>
      </w:r>
    </w:p>
    <w:p w14:paraId="4FA9027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iншi цiннi папери не надається, тому що Товариство не випускало iнших цiнних паперiв.</w:t>
      </w:r>
    </w:p>
    <w:p w14:paraId="12DC59F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деривативнi цiннi папери не надається, тому що Товариство не випускало деривативнi цiннi папери.</w:t>
      </w:r>
    </w:p>
    <w:p w14:paraId="4643C18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забезпечення випуску боргових цiнних паперiв не надається, тому що Товариство не випускало забезпечених боргових цiнних паперiв.</w:t>
      </w:r>
    </w:p>
    <w:p w14:paraId="16656AA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стан об'єкта нерухомостi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14:paraId="2ABC55D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14:paraId="2B92121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наявнiсть у власностi працiвникiв Товариства цiнних паперiв (крiм акцiй) не надається, тому що Товариство не випускало iнших цiнних паперiв.</w:t>
      </w:r>
    </w:p>
    <w:p w14:paraId="46C2044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надається, тому що будь-якi обмеження щодо обiгу акцiй Товариства вiдсутнi.</w:t>
      </w:r>
    </w:p>
    <w:p w14:paraId="0AB9475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Голосуючих акцiй, права голосу за якими обмежено немає, тому iнформацiя не надається.</w:t>
      </w:r>
    </w:p>
    <w:p w14:paraId="24FD9C5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Змiни акцiонерiв, яким належать голосуючi акцiї, розмiр пакета яких стає бiльшим, меншим або рiвним пороговому значенню пакета акцiй, не було, тому iнформацiя не надається. </w:t>
      </w:r>
    </w:p>
    <w:p w14:paraId="49684C6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складає фiнансову звiтнiсть за нацiональними стандартами фiнансової звiтностi, тому URL-адреса веб-сайту, за якою розмiщено рiчну фiнансову звiтнiсть не надається.</w:t>
      </w:r>
    </w:p>
    <w:p w14:paraId="43AA5B2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аудиторський звiт до рiчної фiнансової звiтностi не надається, тому що Товариство за категорiєю є мiкро-пiдприємством i не зобов'язане проводити обов'язковий аудит фiнансової звiтностi.</w:t>
      </w:r>
    </w:p>
    <w:p w14:paraId="14A66B2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прийняття рiшення про попереднє надання згоди на вчинення значних правочинiв, Iнформацiя про вчинення значних правочинiв, Iнформацiя про вчинення правочинiв, щодо вчинення яких є заiнтересованiсть, Звiт про платежi на користь держави не розкривається Приватними акцiонерними товариствами.</w:t>
      </w:r>
    </w:p>
    <w:p w14:paraId="35B4C4F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має власного кодексу корпоративного управлiння, тому Iнформацiя про кодекс корпоративного управлiння, яким керується особа, Iнформацiя про практику корпоративного управлiння не надається.</w:t>
      </w:r>
    </w:p>
    <w:p w14:paraId="36A27B3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Iнформацiя про загальнi збори акцiонерiв (учасникiв) та загальний опис прийнятих на таких зборах рiшень не надається, тому що протягом звiтного року загальнi збори акцiонерiв не скликалися.  </w:t>
      </w:r>
    </w:p>
    <w:p w14:paraId="5CDC6CF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збори власникiв облiгацiй та загальний опис прийнятих на таких зборах рiшень не надається, тому що Товариство не випускало облiгацiй.</w:t>
      </w:r>
    </w:p>
    <w:p w14:paraId="3FBF0A0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проведенi засiдання ради, комiтетiв ради та загальний опис прийнятих рiшень не надається, тому що засiдання не проводились.</w:t>
      </w:r>
    </w:p>
    <w:p w14:paraId="63CF1BD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Iнформацiя про проведенi засiдання комiтетiв колегiального виконавчого органу та загальний опис прийнятих рiшень, Звiт виконавчого органу не надається, тому що в Товариствi створено одноосiбний виконавчий орган.</w:t>
      </w:r>
    </w:p>
    <w:p w14:paraId="5337A6F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корпоративного секретаря, а також звiт щодо результатiв його дiяльностi не надається, тому що корпоративний секретар не обирався.</w:t>
      </w:r>
    </w:p>
    <w:p w14:paraId="3823F42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Система внутрiшнього контролю в Товариствi не впроваджувалась, тому Опис основних характеристик систем внутрiшнього контролю не надається.</w:t>
      </w:r>
    </w:p>
    <w:p w14:paraId="30329B3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будь-яких обмежень прав участi та голосування акцiонерiв на загальних зборах не надається, тому що такi обмеження вiдсутнi.</w:t>
      </w:r>
    </w:p>
    <w:p w14:paraId="1901270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порядку призначення/ звiльнення посадових осiб (крiм ради та виконавчого органу) Товариства не надається, тому що iнших посадових осiб, крiм членiв Наглядової ради та директора немає.</w:t>
      </w:r>
    </w:p>
    <w:p w14:paraId="3917285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винагороду членiв виконавчого органу та/ або ради особи не розкривають Приватнi акцiонернi товариства.</w:t>
      </w:r>
    </w:p>
    <w:p w14:paraId="43175A9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полiтику розкриття iнформацiї не надається, тому що в Товариствi вiдсутнiй внутрiшнiй документ, який визначає полiтику щодо розкриття iнформацiї.</w:t>
      </w:r>
    </w:p>
    <w:p w14:paraId="1DB587F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радника не надається, тому що радник у Товариствi вiдсутнiй.</w:t>
      </w:r>
    </w:p>
    <w:p w14:paraId="1B42437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вiд суб'єкта аудиторської дiяльностi не надається, тому що Товариство не залучало суб'єкта аудиторської дiяльностi для перевiрки.</w:t>
      </w:r>
    </w:p>
    <w:p w14:paraId="72377C5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передбачена законодавством про дiяльнiсть та регулювання дiяльностi на ринку фiнансових послуг не надається, тому що Товариство не є фiнансовою установою.</w:t>
      </w:r>
    </w:p>
    <w:p w14:paraId="5B05AFD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сталий розвиток вiдсутнiй, тому Iнформацiя не надається.</w:t>
      </w:r>
    </w:p>
    <w:p w14:paraId="7C89D60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наявностi у емiтента вiдносин з iноземними державами зони ризику не надається, тому що у Товариства вiдсутнi зв'язки з iноземним державами зони ризику.</w:t>
      </w:r>
    </w:p>
    <w:p w14:paraId="7CE6AB1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корпоративнi/ акцiонернi договори, укладенi акцiонерами Товариства не надається, тому що такi договори вiдсутнi.</w:t>
      </w:r>
    </w:p>
    <w:p w14:paraId="4FF0A20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договори та/ або правочини, умовою чинностi яких є незмiннiсть осiб, якi здiйснюють контроль над емiтентом не надається, тому що такi договори вiдсутнi.</w:t>
      </w:r>
    </w:p>
    <w:p w14:paraId="36ADA98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винагороди або компенсацiї, якi мають бути виплаченi посадовим особам емiтента в разi їх звiльнення не розкривається Приватними акцiонерними товариствами.</w:t>
      </w:r>
    </w:p>
    <w:p w14:paraId="2C6B418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Дивiдендна полiтика не надається, тому що в Товариствi вiдсутнiй внутрiшнiй документ, що визначає дивiдендну полiтику.</w:t>
      </w:r>
    </w:p>
    <w:p w14:paraId="4E37B67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виплату дивiдендiв не надається, тому що дивiденди у звiтному перiодi не виплачувались.</w:t>
      </w:r>
    </w:p>
    <w:p w14:paraId="76686E9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Список посилань на регульовану iнформацiю, яка була розкрита протягом звiтного перiоду, не надається, тому що така iнформацiя не розкривалася.</w:t>
      </w:r>
    </w:p>
    <w:p w14:paraId="14DD400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Рiчна фiнансова звiтнiсть поручителя (страховика/ гаранта), що здiйснює забезпечення випуску боргових цiнних паперiв не надається, тому що Товариство не випускало борговi цiннi папери.</w:t>
      </w:r>
    </w:p>
    <w:p w14:paraId="28BB05DB">
      <w:pPr>
        <w:spacing w:beforeLines="0" w:afterLines="0"/>
        <w:rPr>
          <w:rFonts w:hint="default" w:ascii="Times New Roman CYR" w:hAnsi="Times New Roman CYR" w:eastAsia="Times New Roman CYR"/>
          <w:sz w:val="24"/>
          <w:szCs w:val="24"/>
        </w:rPr>
      </w:pPr>
    </w:p>
    <w:p w14:paraId="7602E316">
      <w:pPr>
        <w:spacing w:beforeLines="0" w:afterLines="0"/>
        <w:rPr>
          <w:rFonts w:hint="default" w:ascii="Times New Roman CYR" w:hAnsi="Times New Roman CYR" w:eastAsia="Times New Roman CYR"/>
          <w:sz w:val="24"/>
          <w:szCs w:val="24"/>
        </w:rPr>
      </w:pPr>
    </w:p>
    <w:p w14:paraId="672A97AA">
      <w:pPr>
        <w:spacing w:beforeLines="0" w:afterLines="0"/>
        <w:rPr>
          <w:rFonts w:hint="default" w:ascii="Times New Roman CYR" w:hAnsi="Times New Roman CYR" w:eastAsia="Times New Roman CYR"/>
          <w:sz w:val="24"/>
          <w:szCs w:val="24"/>
        </w:rPr>
      </w:pPr>
    </w:p>
    <w:p w14:paraId="0DAAE823">
      <w:pPr>
        <w:spacing w:beforeLines="0" w:afterLines="0"/>
        <w:rPr>
          <w:rFonts w:hint="default" w:ascii="Times New Roman CYR" w:hAnsi="Times New Roman CYR" w:eastAsia="Times New Roman CYR"/>
          <w:sz w:val="24"/>
          <w:szCs w:val="24"/>
        </w:rPr>
      </w:pPr>
    </w:p>
    <w:p w14:paraId="251ACA36">
      <w:pPr>
        <w:spacing w:beforeLines="0" w:afterLines="0"/>
        <w:rPr>
          <w:rFonts w:hint="default" w:ascii="Times New Roman CYR" w:hAnsi="Times New Roman CYR" w:eastAsia="Times New Roman CYR"/>
          <w:sz w:val="24"/>
          <w:szCs w:val="24"/>
        </w:rPr>
      </w:pPr>
    </w:p>
    <w:p w14:paraId="50F22270">
      <w:pPr>
        <w:spacing w:beforeLines="0" w:afterLines="0"/>
        <w:rPr>
          <w:rFonts w:hint="default" w:ascii="Times New Roman CYR" w:hAnsi="Times New Roman CYR" w:eastAsia="Times New Roman CYR"/>
          <w:sz w:val="24"/>
          <w:szCs w:val="24"/>
        </w:rPr>
      </w:pPr>
    </w:p>
    <w:p w14:paraId="7D81BA3E">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Зміст</w:t>
      </w:r>
    </w:p>
    <w:p w14:paraId="73E60AAE">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до річного звіту</w:t>
      </w:r>
    </w:p>
    <w:p w14:paraId="76A5961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 Загальна інформація</w:t>
      </w:r>
    </w:p>
    <w:p w14:paraId="4FCAEA9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Ідентифікаційні дані та загальна інформація</w:t>
      </w:r>
    </w:p>
    <w:p w14:paraId="035BAEB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Органи управління та посадові особи. Організаційна структура</w:t>
      </w:r>
    </w:p>
    <w:p w14:paraId="314BA96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Структура власності</w:t>
      </w:r>
    </w:p>
    <w:p w14:paraId="3CB7F2D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господарської та фінансової діяльності</w:t>
      </w:r>
    </w:p>
    <w:p w14:paraId="26B8CD0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 Інформація щодо капіталу та цінних паперів</w:t>
      </w:r>
    </w:p>
    <w:p w14:paraId="3BCE312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Структура капіталу</w:t>
      </w:r>
    </w:p>
    <w:p w14:paraId="5B8E65F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Цінні папери</w:t>
      </w:r>
    </w:p>
    <w:p w14:paraId="4244D64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III. Фінансова інформація</w:t>
      </w:r>
    </w:p>
    <w:p w14:paraId="067B8FF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Твердження щодо річної інформації</w:t>
      </w:r>
    </w:p>
    <w:p w14:paraId="1C3ADE5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IV. Нефінансова інформація</w:t>
      </w:r>
    </w:p>
    <w:p w14:paraId="34810E4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керівництва (звіт про управління)</w:t>
      </w:r>
    </w:p>
    <w:p w14:paraId="1910ADC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про корпоративне управління</w:t>
      </w:r>
    </w:p>
    <w:p w14:paraId="487A02C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Перелік посилань на внутрішні документи особи, що розміщені на вебсайті особи</w:t>
      </w:r>
    </w:p>
    <w:p w14:paraId="0CF9CEE2">
      <w:pPr>
        <w:spacing w:beforeLines="0" w:afterLines="0"/>
        <w:jc w:val="left"/>
        <w:rPr>
          <w:rFonts w:hint="default" w:ascii="Times New Roman CYR" w:hAnsi="Times New Roman CYR" w:eastAsia="Times New Roman CYR"/>
          <w:sz w:val="24"/>
          <w:szCs w:val="24"/>
        </w:rPr>
      </w:pPr>
    </w:p>
    <w:p w14:paraId="1E9D5022">
      <w:pPr>
        <w:spacing w:beforeLines="0" w:afterLines="0"/>
        <w:jc w:val="left"/>
        <w:rPr>
          <w:rFonts w:hint="default" w:ascii="Times New Roman CYR" w:hAnsi="Times New Roman CYR" w:eastAsia="Times New Roman CYR"/>
          <w:sz w:val="24"/>
          <w:szCs w:val="24"/>
        </w:rPr>
        <w:sectPr>
          <w:pgSz w:w="12240" w:h="15840"/>
          <w:pgMar w:top="570" w:right="720" w:bottom="570" w:left="720" w:header="720" w:footer="720" w:gutter="0"/>
          <w:lnNumType w:countBy="0" w:distance="360"/>
          <w:cols w:space="720" w:num="1"/>
        </w:sectPr>
      </w:pPr>
    </w:p>
    <w:p w14:paraId="11BAB90E">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 Загальна інформація</w:t>
      </w:r>
    </w:p>
    <w:p w14:paraId="38283F2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Ідентифікаційні дані та загальна інформація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282DA8F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A5D00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2C0CA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ECA44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ПРИВАТНЕ АКЦIОНЕРНЕ ТОВАРИСТВО "СПМК-523"</w:t>
            </w:r>
          </w:p>
        </w:tc>
      </w:tr>
      <w:tr w14:paraId="361EEB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B28E2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2C6C0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Скорочене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F0667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ПрАТ "СПМК-523"</w:t>
            </w:r>
          </w:p>
        </w:tc>
      </w:tr>
      <w:tr w14:paraId="5DF29B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7426FE">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6CAD5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9CB3B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01354473</w:t>
            </w:r>
          </w:p>
        </w:tc>
      </w:tr>
      <w:tr w14:paraId="01C305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B43B5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3F974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Дата державної реєстрації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56F1D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24.01.1997</w:t>
            </w:r>
          </w:p>
        </w:tc>
      </w:tr>
      <w:tr w14:paraId="7DAF9D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151FE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87F36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Місцезнаходження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CE48A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04136, Україна, м.Київ, ПОДIЛЬСЬКИЙ р-н р-н, м.Київ, ВУЛ. МАРШАЛА ГРЕЧКА, 9Г</w:t>
            </w:r>
          </w:p>
        </w:tc>
      </w:tr>
      <w:tr w14:paraId="0A8B106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DDD42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9CB35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для листування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D3C5D7">
            <w:pPr>
              <w:spacing w:beforeLines="0" w:afterLines="0"/>
              <w:jc w:val="left"/>
              <w:rPr>
                <w:rFonts w:hint="default" w:ascii="Times New Roman CYR" w:hAnsi="Times New Roman CYR" w:eastAsia="Times New Roman CYR"/>
                <w:sz w:val="24"/>
                <w:szCs w:val="24"/>
              </w:rPr>
            </w:pPr>
          </w:p>
        </w:tc>
      </w:tr>
      <w:tr w14:paraId="02B02FC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B45D8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F6134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яка розкриває інформацію</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3EF12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Емітент</w:t>
            </w:r>
          </w:p>
          <w:p w14:paraId="58982E5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Особа, яка надає забезпечення</w:t>
            </w:r>
          </w:p>
        </w:tc>
      </w:tr>
      <w:tr w14:paraId="05D8C57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3E782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291ED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має статус підприємства, що становить суспільний інтерес</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751CB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Так</w:t>
            </w:r>
          </w:p>
          <w:p w14:paraId="333B12C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Ні</w:t>
            </w:r>
          </w:p>
        </w:tc>
      </w:tr>
      <w:tr w14:paraId="46785D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37DCAB">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CA05C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Категорія підприємства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985A1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Велике</w:t>
            </w:r>
          </w:p>
          <w:p w14:paraId="376D12F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Середнє</w:t>
            </w:r>
          </w:p>
          <w:p w14:paraId="3F93F63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Мале</w:t>
            </w:r>
          </w:p>
          <w:p w14:paraId="329018F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Мікро</w:t>
            </w:r>
          </w:p>
        </w:tc>
      </w:tr>
      <w:tr w14:paraId="27B21D8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04C35C">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C0D60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електронної пошти для офіційного каналу зв'язку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37A1E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spmk523@emitents.net.ua</w:t>
            </w:r>
          </w:p>
        </w:tc>
      </w:tr>
      <w:tr w14:paraId="7923F3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74788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C19BD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вебсайту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67358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w:t>
            </w:r>
          </w:p>
        </w:tc>
      </w:tr>
      <w:tr w14:paraId="568AFD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1C654E">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767EC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Номер телефону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DF026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0444436997</w:t>
            </w:r>
          </w:p>
        </w:tc>
      </w:tr>
      <w:tr w14:paraId="526C17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17D5F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C209A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Статутний капітал, грн</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866C1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42899</w:t>
            </w:r>
          </w:p>
        </w:tc>
      </w:tr>
      <w:tr w14:paraId="66CC5A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8CDCFB">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BF7A7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(часток/паїв) у статутному капіталі, що належить державі</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3A81C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4428231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FA960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8DE16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9CF2B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07A99E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C42FE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C9D07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Середня кількість працівників за звітний період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F786D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r>
      <w:tr w14:paraId="313989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6CAD8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0F384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593A1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7016C2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EB545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5F2DB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види діяльності із зазначенням їх найменування та коду за КВЕД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24664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68.20 - Надання в оренду й експлуатацiю власного чи орендованого нерухомого майна</w:t>
            </w:r>
          </w:p>
          <w:p w14:paraId="0E1F48C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52.24 - Транспортне оброблення вантажiв</w:t>
            </w:r>
          </w:p>
          <w:p w14:paraId="0CB294A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43.22 - Монтаж водопровiдних мереж, систем опалення та кондицiонування</w:t>
            </w:r>
          </w:p>
        </w:tc>
      </w:tr>
      <w:tr w14:paraId="1FBC5A3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3F8BF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CECEE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Структура управління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F0E91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Однорівнева</w:t>
            </w:r>
          </w:p>
          <w:p w14:paraId="1CF99F5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Дворівнева</w:t>
            </w:r>
          </w:p>
          <w:p w14:paraId="06BB19B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Інше</w:t>
            </w:r>
          </w:p>
        </w:tc>
      </w:tr>
    </w:tbl>
    <w:p w14:paraId="4A9CE25F">
      <w:pPr>
        <w:spacing w:beforeLines="0" w:afterLines="0"/>
        <w:jc w:val="left"/>
        <w:rPr>
          <w:rFonts w:hint="default" w:ascii="Times New Roman CYR" w:hAnsi="Times New Roman CYR" w:eastAsia="Times New Roman CYR"/>
          <w:sz w:val="24"/>
          <w:szCs w:val="24"/>
        </w:rPr>
      </w:pPr>
    </w:p>
    <w:p w14:paraId="7350CEF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Банки, що обслуговують особу: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45D083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70AD7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7F0CF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 (в т.ч. філії, відділення банку)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63E6B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АКЦIОНЕРНЕ ТОВАРИСТВО "ПЕРШИЙ УКРАЇНСЬКИЙ МIЖНАРОДНИЙ БАНК"</w:t>
            </w:r>
          </w:p>
        </w:tc>
      </w:tr>
      <w:tr w14:paraId="2D4C61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1E33FE">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2B21E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3F838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14282829</w:t>
            </w:r>
          </w:p>
        </w:tc>
      </w:tr>
      <w:tr w14:paraId="5BA1EE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EFA9AE">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60D57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IBAN</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F5A8B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UA143348510000000026002336204</w:t>
            </w:r>
          </w:p>
        </w:tc>
      </w:tr>
      <w:tr w14:paraId="1CBD163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BF6700">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71065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Валюта рахунку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93366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гривня</w:t>
            </w:r>
          </w:p>
        </w:tc>
      </w:tr>
    </w:tbl>
    <w:p w14:paraId="06D555ED">
      <w:pPr>
        <w:spacing w:beforeLines="0" w:afterLines="0"/>
        <w:jc w:val="left"/>
        <w:rPr>
          <w:rFonts w:hint="default" w:ascii="Times New Roman CYR" w:hAnsi="Times New Roman CYR" w:eastAsia="Times New Roman CYR"/>
          <w:sz w:val="24"/>
          <w:szCs w:val="24"/>
        </w:rPr>
      </w:pPr>
    </w:p>
    <w:p w14:paraId="31F25A7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2. Органи управління та посадові особи. Організаційна структура</w:t>
      </w:r>
    </w:p>
    <w:p w14:paraId="232A8541">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Органи управління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1450"/>
        <w:gridCol w:w="4000"/>
        <w:gridCol w:w="4000"/>
      </w:tblGrid>
      <w:tr w14:paraId="166F4B5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8B39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5D4E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ED4B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Кількісний склад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63EC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Персональний склад органу управління (контролю)</w:t>
            </w:r>
          </w:p>
        </w:tc>
      </w:tr>
      <w:tr w14:paraId="4AB730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4C76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27A2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B39C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C59E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3C57E91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49D611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7964F2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Загальнi збори акцiонерiв</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B38EF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7255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Згiдно з реєстром власникiв цiнних паперiв </w:t>
            </w:r>
          </w:p>
        </w:tc>
      </w:tr>
      <w:tr w14:paraId="02ED1D0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3A1C4E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359C3C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Директор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236C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C2E9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r>
      <w:tr w14:paraId="2B0093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75724E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4266CE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Наглядова рада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65E5E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8C57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Роман Вiкторович - голова,</w:t>
            </w:r>
          </w:p>
          <w:p w14:paraId="27C79B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Федоренко Iгор Валерiйович - член.</w:t>
            </w:r>
          </w:p>
          <w:p w14:paraId="5340F6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Бублiй Галина Пилипiвна - член.</w:t>
            </w:r>
          </w:p>
        </w:tc>
      </w:tr>
    </w:tbl>
    <w:p w14:paraId="329232EB">
      <w:pPr>
        <w:spacing w:beforeLines="0" w:afterLines="0"/>
        <w:jc w:val="left"/>
        <w:rPr>
          <w:rFonts w:hint="default" w:ascii="Times New Roman CYR" w:hAnsi="Times New Roman CYR" w:eastAsia="Times New Roman CYR"/>
          <w:sz w:val="22"/>
          <w:szCs w:val="24"/>
        </w:rPr>
      </w:pPr>
    </w:p>
    <w:p w14:paraId="4DEBB5D1">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53912C4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посадових осіб</w:t>
      </w:r>
    </w:p>
    <w:p w14:paraId="30F8E05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Рада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3CAEA2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088AB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ACD3A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A4614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B7569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E281E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C411A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30DC9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E1C7F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463EA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E3D54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6D34C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F0228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3A08F51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E2F77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CB4BA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2C310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48976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D9060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4717A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14995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1A250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AC067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36E55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64D2D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A652F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10DADF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66DF2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7F07F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03AD2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Роман Вiкторович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EFD47">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B16BB5">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13E986">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AA577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45DC31">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64132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3977D74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4155C25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DC988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0E9544E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CE72D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81357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r w14:paraId="4411A1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69210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6707D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37474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Федоренко Iгор Валерiйович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0AF5F0">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F5838A">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4BFB5F">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E7614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5B1CB0">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B8DF5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5B8EBAC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007A54C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7454F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2AD79B1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C9F51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BD048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r w14:paraId="6462F5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631EB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CF28C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930EE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Бублiй Галина Пилипiвна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4D764E">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DA75C4">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C7A02F">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3BCD8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244D33">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6EBF4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136BEE8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4D86331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8C065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231ACC7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A18FA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C12EB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bl>
    <w:p w14:paraId="3DBEADC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Виконавчий орган</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0A636A2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521F5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043AE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FC26B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0062F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08172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0B865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429D5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5AF2A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2BFF8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2C4A9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7AF76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3F9BE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0ABE34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45C01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46F0B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E22F3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F9BF6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C81FE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D836E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ADCA6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B46F7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351CB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69390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B4D6D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DC4A6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24C1B9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3A5BE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DBE31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BF189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Вiктор Михайлович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85DB71">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43240A">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E96BE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1961</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D7402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 Київський iнженерно-будiвельний iнститут</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A3EA6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0C1DC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ВАТ "СПМК-523"</w:t>
            </w:r>
          </w:p>
          <w:p w14:paraId="6A27EC9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01354473</w:t>
            </w:r>
          </w:p>
          <w:p w14:paraId="641A137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4EA9E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292C6D2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безстроково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318E0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36DE1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bl>
    <w:p w14:paraId="0A1D6280">
      <w:pPr>
        <w:spacing w:beforeLines="0" w:afterLines="0"/>
        <w:jc w:val="left"/>
        <w:rPr>
          <w:rFonts w:hint="default" w:ascii="Times New Roman CYR" w:hAnsi="Times New Roman CYR" w:eastAsia="Times New Roman CYR"/>
          <w:sz w:val="20"/>
          <w:szCs w:val="24"/>
        </w:rPr>
      </w:pPr>
    </w:p>
    <w:p w14:paraId="2368008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володіння посадовими особами акціями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450"/>
        <w:gridCol w:w="2500"/>
        <w:gridCol w:w="1625"/>
        <w:gridCol w:w="1625"/>
        <w:gridCol w:w="1625"/>
        <w:gridCol w:w="1625"/>
        <w:gridCol w:w="1700"/>
        <w:gridCol w:w="1700"/>
      </w:tblGrid>
      <w:tr w14:paraId="5D9953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C23E6F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4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5168A0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5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C7986C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A0360C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17074F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3D5B1C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акцій, шт.</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503A01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F2D77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за типами акцій</w:t>
            </w:r>
          </w:p>
        </w:tc>
      </w:tr>
      <w:tr w14:paraId="770E4F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1AD4D0B">
            <w:pPr>
              <w:spacing w:beforeLines="0" w:afterLines="0"/>
              <w:jc w:val="center"/>
              <w:rPr>
                <w:rFonts w:hint="default" w:ascii="Times New Roman CYR" w:hAnsi="Times New Roman CYR" w:eastAsia="Times New Roman CYR"/>
                <w:sz w:val="20"/>
                <w:szCs w:val="24"/>
              </w:rPr>
            </w:pPr>
          </w:p>
        </w:tc>
        <w:tc>
          <w:tcPr>
            <w:tcW w:w="24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66C8F49">
            <w:pPr>
              <w:spacing w:beforeLines="0" w:afterLines="0"/>
              <w:jc w:val="center"/>
              <w:rPr>
                <w:rFonts w:hint="default" w:ascii="Times New Roman CYR" w:hAnsi="Times New Roman CYR" w:eastAsia="Times New Roman CYR"/>
                <w:sz w:val="20"/>
                <w:szCs w:val="24"/>
              </w:rPr>
            </w:pPr>
          </w:p>
        </w:tc>
        <w:tc>
          <w:tcPr>
            <w:tcW w:w="25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C3EBAB2">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B7FF65D">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DF7F740">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A076387">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22E76FB">
            <w:pPr>
              <w:spacing w:beforeLines="0" w:afterLines="0"/>
              <w:jc w:val="center"/>
              <w:rPr>
                <w:rFonts w:hint="default" w:ascii="Times New Roman CYR" w:hAnsi="Times New Roman CYR" w:eastAsia="Times New Roman CYR"/>
                <w:sz w:val="20"/>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533F9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7194F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привілейовані іменні</w:t>
            </w:r>
          </w:p>
        </w:tc>
      </w:tr>
      <w:tr w14:paraId="3C2501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CA55F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663F2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D0CF4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26F76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D7BD3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D56FB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4D94B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9C135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9C84E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r>
      <w:tr w14:paraId="628915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5B451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E860D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02C0C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Вiктор Михайлович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6930B0">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6E4360">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AE363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148 929</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4F59E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91254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BB625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65442A5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3F79F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D70E4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C3C93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Роман Вiкторович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1AB493">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9C8C11">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727AB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3 471</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2B43F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2,022774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00267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3 471</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623F0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23FF39A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9BF89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6654D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BA5DC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Федоренко Iгор Валерiйович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4339A5">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F62DE6">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E4DC0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F7D53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44F07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F7C61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10F0289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D7EF8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A045A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929C2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Бублiй Галина Пилипiвна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333DEA">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E6FB68">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D9D6B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50E59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8F8F4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3270A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bl>
    <w:p w14:paraId="4EC65556">
      <w:pPr>
        <w:spacing w:beforeLines="0" w:afterLines="0"/>
        <w:jc w:val="left"/>
        <w:rPr>
          <w:rFonts w:hint="default" w:ascii="Times New Roman CYR" w:hAnsi="Times New Roman CYR" w:eastAsia="Times New Roman CYR"/>
          <w:sz w:val="20"/>
          <w:szCs w:val="24"/>
        </w:rPr>
      </w:pPr>
    </w:p>
    <w:p w14:paraId="07D9C10D">
      <w:pPr>
        <w:spacing w:beforeLines="0" w:afterLines="0"/>
        <w:jc w:val="left"/>
        <w:rPr>
          <w:rFonts w:hint="default" w:ascii="Times New Roman CYR" w:hAnsi="Times New Roman CYR" w:eastAsia="Times New Roman CYR"/>
          <w:sz w:val="20"/>
          <w:szCs w:val="24"/>
        </w:rPr>
        <w:sectPr>
          <w:pgSz w:w="16837" w:h="11905" w:orient="landscape"/>
          <w:pgMar w:top="570" w:right="720" w:bottom="570" w:left="720" w:header="720" w:footer="720" w:gutter="0"/>
          <w:lnNumType w:countBy="0" w:distance="360"/>
          <w:cols w:space="720" w:num="1"/>
        </w:sectPr>
      </w:pPr>
    </w:p>
    <w:p w14:paraId="6E084BB8">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Організаційна структура</w:t>
      </w:r>
    </w:p>
    <w:p w14:paraId="2A0D33A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http://spmk523.emitents.net.ua/ua/docs/?fg_id=102</w:t>
      </w:r>
    </w:p>
    <w:p w14:paraId="1D8845D7">
      <w:pPr>
        <w:spacing w:beforeLines="0" w:afterLines="0"/>
        <w:jc w:val="left"/>
        <w:rPr>
          <w:rFonts w:hint="default" w:ascii="Times New Roman CYR" w:hAnsi="Times New Roman CYR" w:eastAsia="Times New Roman CYR"/>
          <w:sz w:val="24"/>
          <w:szCs w:val="24"/>
        </w:rPr>
      </w:pPr>
    </w:p>
    <w:p w14:paraId="5CD7F40D">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3. Структура власності</w:t>
      </w:r>
    </w:p>
    <w:p w14:paraId="4645AF3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http://spmk523.emitents.net.ua/ua/docs/?fg_id=102</w:t>
      </w:r>
    </w:p>
    <w:p w14:paraId="62ADF757">
      <w:pPr>
        <w:spacing w:beforeLines="0" w:afterLines="0"/>
        <w:jc w:val="left"/>
        <w:rPr>
          <w:rFonts w:hint="default" w:ascii="Times New Roman CYR" w:hAnsi="Times New Roman CYR" w:eastAsia="Times New Roman CYR"/>
          <w:sz w:val="24"/>
          <w:szCs w:val="24"/>
        </w:rPr>
      </w:pPr>
    </w:p>
    <w:p w14:paraId="7C05D544">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Опис господарської та фінансової діяльності</w:t>
      </w:r>
    </w:p>
    <w:p w14:paraId="138B68F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14:paraId="2933490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належить до будь-яких об'єднань пiдприємств.</w:t>
      </w:r>
    </w:p>
    <w:p w14:paraId="648B657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14:paraId="5FD12D9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Емiтент не проводить спiльної дiяльностi з iншими органiзацiями, пiдприємствами, установами.</w:t>
      </w:r>
    </w:p>
    <w:p w14:paraId="148F9BB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14:paraId="66D7717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Метод нарахування амортизацiї основних засобiв та нематерiальних активiв - прямолiнiйний. Метод оцiнки вартостi запасiв - прямолiнiйний. Метод облiку та оцiнки вартостi фiнансових iнвестицiй-фiнансовi iнвестицiї вiдсутнi. Резерву сумнiвних боргiв немає. Резерву вiдпусток немає.</w:t>
      </w:r>
    </w:p>
    <w:p w14:paraId="2C3C553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1DF7A24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2A93B77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Опис полiтики щодо дослiджень та розробок, сума витрат на дослiдження та розробку за звiтний рiк.</w:t>
      </w:r>
    </w:p>
    <w:p w14:paraId="402C2C0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Дослiджень та розробок в звiтному перiодi не було.</w:t>
      </w:r>
    </w:p>
    <w:p w14:paraId="3C66C74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 Iнформацiя щодо продуктiв (товарiв або послуг) особи:</w:t>
      </w:r>
    </w:p>
    <w:p w14:paraId="58ECEBD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опис продуктiв (товарiв та/або послуг), якi виробляє / надає особа.</w:t>
      </w:r>
    </w:p>
    <w:p w14:paraId="4344F98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3B83296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2)обсяги виробництва (у натуральному та грошовому виразi).</w:t>
      </w:r>
    </w:p>
    <w:p w14:paraId="143301F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займається виробництвом.</w:t>
      </w:r>
    </w:p>
    <w:p w14:paraId="7E3ADCA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3)середньореалiзацiйнi цiни продуктiв.</w:t>
      </w:r>
    </w:p>
    <w:p w14:paraId="4A4D02D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займається виробництвом.</w:t>
      </w:r>
    </w:p>
    <w:p w14:paraId="34D7BED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4)загальна сума виручки.</w:t>
      </w:r>
    </w:p>
    <w:p w14:paraId="4006419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4A73BEB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5)загальна сума експорту, частка експорту в загальному обсязi продажiв.</w:t>
      </w:r>
    </w:p>
    <w:p w14:paraId="444357C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здiйснює експортних операцiй.</w:t>
      </w:r>
    </w:p>
    <w:p w14:paraId="7015BF6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6)залежнiсть вiд сезонних змiн.</w:t>
      </w:r>
    </w:p>
    <w:p w14:paraId="3893425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Товариства не залежить вiд сезонних змiн.</w:t>
      </w:r>
    </w:p>
    <w:p w14:paraId="77DB9E8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7)основнi клiєнти (бiльше 5 % у загальнiй сумi виручки).</w:t>
      </w:r>
    </w:p>
    <w:p w14:paraId="1023738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187B5FA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ринки збуту та країни, в яких особою здiйснюється дiяльнiсть.</w:t>
      </w:r>
    </w:p>
    <w:p w14:paraId="56B496E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1BB36C4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9)канали збуту.</w:t>
      </w:r>
    </w:p>
    <w:p w14:paraId="0BECA8A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316CF98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7E27817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40E8AB4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11)особливостi стану розвитку галузi, в якiй здiйснює дiяльнiсть особа.</w:t>
      </w:r>
    </w:p>
    <w:p w14:paraId="59D4F55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Розвиток галузi нерухомостi залежить вiд економiчної ситуацiї в країнi. На розвиток галузi, в якiй Товариство здiйснює дiяльнiсть здебiльшого негативно впливають наступнi фактори: економiчна нестабiльнiсть, зниження iнвестицiйної активностi, зменшення платоспроможностi клiєнтiв, зменшення попиту, коливання курсу валют, збiльшення податкового навантаження.</w:t>
      </w:r>
    </w:p>
    <w:p w14:paraId="6B33D9F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12)опис технологiй, якi використовує особа у своїй дiяльностi.</w:t>
      </w:r>
    </w:p>
    <w:p w14:paraId="4C63681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3D79AE5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13)мiсце особи на ринку, на якому вона здiйснює дiяльнiсть.</w:t>
      </w:r>
    </w:p>
    <w:p w14:paraId="7265A12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602E2D0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14)рiвень конкуренцiї в галузi, основнi конкуренти особи.</w:t>
      </w:r>
    </w:p>
    <w:p w14:paraId="402F1D0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Загальний рiвень конкуренцiї в галузi високий. Дiяльнiсть Товариство тимчасово не здiйснює.</w:t>
      </w:r>
    </w:p>
    <w:p w14:paraId="6D1DC43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15)перспективнi плани розвитку особи.</w:t>
      </w:r>
    </w:p>
    <w:p w14:paraId="15A813B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Перспективних планiв розвитку Товариство не має.</w:t>
      </w:r>
    </w:p>
    <w:p w14:paraId="76406ED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6E1311C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є фiнансовою установою.</w:t>
      </w:r>
    </w:p>
    <w:p w14:paraId="58E6CF0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Опис ризикiв, якi притаманнi дiяльностi особи, пiдходи до управлiння ризиками, заходи особи щодо зменшення впливу ризикiв.</w:t>
      </w:r>
    </w:p>
    <w:p w14:paraId="2988CA5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Суттєвим є ризик збiльшення податкового навантаження, збiльшення витрат на утримання об'єктiв нерухомого майна. Пiдходiв до управлiння ризиками Товариство не має.</w:t>
      </w:r>
    </w:p>
    <w:p w14:paraId="71DC53A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3DB8A45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Стратегiя подальшої дiяльностi Товариства вiдсутня.</w:t>
      </w:r>
    </w:p>
    <w:p w14:paraId="5C412F6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78AED8D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Придбання або вiдчуження активiв за останнi п'ять рокiв не здiйснювались. Iнвестицiї та придбання не плануються.</w:t>
      </w:r>
    </w:p>
    <w:p w14:paraId="232303D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4B41A1B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Первiсна вартiсть основних засобiв Товариства на кiнець звiтного перiоду складає 128,3 тис.грн. Основнi засоби знаходяться в мiстi Києвi за адресою: вул. Маршала Гречка, 9-Г. Орендованих основних засобiв немає. Значних правочинiв щодо основних засобiв в звiтному перiодi не було. Активи перебувають на балансi Товариства. Виробничi потужностi вiдсутнi, тому ступiнь використання обладнання не визначається. Дiяльнiсть Товариство тимчасово не здiйснює. Екологiчнi питання, що можуть позначитися на використаннi активiв пiдприємства, вiдсутнi. Планiв щодо капiтального будiвництва, розширення або вдосконалення основних засобiв немає. </w:t>
      </w:r>
    </w:p>
    <w:p w14:paraId="3F83106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629C083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68E346B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583E0CF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Укладенi, але ще не виконанi договори (контракти) на кiнець звiтного перiоду вiдсутнi.</w:t>
      </w:r>
    </w:p>
    <w:p w14:paraId="622F722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203A41C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Середньооблiкова чисельнiсть штатних працiвникiв - 1 особа. Позаштатних працiвникiв та осiб, якi працюють за сумiсництвом, працiвникiв, якi працюють на умовах неповного робочого часу (дня, тижня), немає. Розмiр фонду оплати працi за звiтний перiод 0 тис.грн.</w:t>
      </w:r>
    </w:p>
    <w:p w14:paraId="5EDE1AD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3DB814C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Пропозицiї щодо реорганiзацiї з боку третiх осiб протягом звiтного перiоду не надходили.</w:t>
      </w:r>
    </w:p>
    <w:p w14:paraId="6E7F7DB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2EBAFB5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Iнша iнформацiя, яка може бути iстотною для оцiнки стейкхолдерами фiнансового стану та результатiв дiяльностi Товариства, вiдсутня.</w:t>
      </w:r>
    </w:p>
    <w:p w14:paraId="46501BE8">
      <w:pPr>
        <w:spacing w:beforeLines="0" w:afterLines="0"/>
        <w:jc w:val="left"/>
        <w:rPr>
          <w:rFonts w:hint="default" w:ascii="Times New Roman CYR" w:hAnsi="Times New Roman CYR" w:eastAsia="Times New Roman CYR"/>
          <w:sz w:val="24"/>
          <w:szCs w:val="24"/>
        </w:rPr>
      </w:pPr>
    </w:p>
    <w:p w14:paraId="45315EE1">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щодо вартості чистих активів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60"/>
        <w:gridCol w:w="2740"/>
        <w:gridCol w:w="3000"/>
        <w:gridCol w:w="3000"/>
      </w:tblGrid>
      <w:tr w14:paraId="584338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0FC7C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показника</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6303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0D15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2993E9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3B05F6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Розрахункова вартість чистих активів,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FA50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-357,6</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9E853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-357,6</w:t>
            </w:r>
          </w:p>
        </w:tc>
      </w:tr>
      <w:tr w14:paraId="49ADF26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95467B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B0EA6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377B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5B428A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E22E5A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Скоригований 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B0CC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DFB91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2107546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CDFC5A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B7801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-833,57</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89BF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-833,57</w:t>
            </w:r>
          </w:p>
        </w:tc>
      </w:tr>
      <w:tr w14:paraId="2C30D1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152F10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F760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43DC6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00C262A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60" w:type="dxa"/>
            <w:tcBorders>
              <w:top w:val="single" w:color="auto" w:sz="6" w:space="0"/>
              <w:left w:val="single" w:color="auto" w:sz="6" w:space="0"/>
              <w:bottom w:val="single" w:color="auto" w:sz="6" w:space="0"/>
              <w:right w:val="single" w:color="auto" w:sz="6" w:space="0"/>
              <w:tl2br w:val="nil"/>
              <w:tr2bl w:val="nil"/>
            </w:tcBorders>
            <w:noWrap w:val="0"/>
            <w:vAlign w:val="top"/>
          </w:tcPr>
          <w:p w14:paraId="470ECB0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Висновок</w:t>
            </w:r>
          </w:p>
        </w:tc>
        <w:tc>
          <w:tcPr>
            <w:tcW w:w="874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134FF93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Рiзниця мiж розрахунковою вартiстю чистих активiв i статутним капiталом на кiнець звiтного перiоду становить -400,5 тис.грн. Рiзниця мiж розрахунковою вартiстю чистих активiв та скоригованим статутним капiталом на кiнець звiтного перiоду становить -400,5 тис.грн. Рiзниця мiж розрахунковою вартiстю чистих активiв i статутним капiталом на кiнець попереднього перiоду становить -400,5 тис.грн. Рiзниця мiж розрахунковою вартiстю чистих активiв та скоригованим статутним капiталом на кiнець попереднього перiоду становить -400,5 тис.грн.</w:t>
            </w:r>
          </w:p>
          <w:p w14:paraId="6335A1C0">
            <w:pPr>
              <w:spacing w:beforeLines="0" w:afterLines="0"/>
              <w:rPr>
                <w:rFonts w:hint="default" w:ascii="Times New Roman CYR" w:hAnsi="Times New Roman CYR" w:eastAsia="Times New Roman CYR"/>
                <w:sz w:val="22"/>
                <w:szCs w:val="24"/>
              </w:rPr>
            </w:pPr>
          </w:p>
          <w:p w14:paraId="5DCF7F01">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Вартiсть чистих активiв акцiонерного товариства менша вiд статутного капiталу (скоригованого). Вартiсть чистих активiв товариства менша вiд мiнiмального розмiру статутного капiталу, встановленого законом. </w:t>
            </w:r>
          </w:p>
        </w:tc>
      </w:tr>
    </w:tbl>
    <w:p w14:paraId="6234A875">
      <w:pPr>
        <w:spacing w:beforeLines="0" w:afterLines="0"/>
        <w:jc w:val="left"/>
        <w:rPr>
          <w:rFonts w:hint="default" w:ascii="Times New Roman CYR" w:hAnsi="Times New Roman CYR" w:eastAsia="Times New Roman CYR"/>
          <w:sz w:val="22"/>
          <w:szCs w:val="24"/>
        </w:rPr>
      </w:pPr>
    </w:p>
    <w:p w14:paraId="72027D9D">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зобов'язання та забезпечення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780"/>
        <w:gridCol w:w="1440"/>
        <w:gridCol w:w="1480"/>
        <w:gridCol w:w="1940"/>
        <w:gridCol w:w="1328"/>
      </w:tblGrid>
      <w:tr w14:paraId="3DA2E71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0C89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Види зобов</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660F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виникнення</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8187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Непогашена частина боргу (тис. грн)</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865C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Відсоток за користування коштами (відсоток річних)</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B117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погашення</w:t>
            </w:r>
          </w:p>
        </w:tc>
      </w:tr>
      <w:tr w14:paraId="006C2C5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CD641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Кредити банку</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D9F1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B5F3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AC49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6FD2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3FA969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69908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5C048356">
            <w:pPr>
              <w:spacing w:beforeLines="0" w:afterLines="0"/>
              <w:jc w:val="center"/>
              <w:rPr>
                <w:rFonts w:hint="default" w:ascii="Times New Roman CYR" w:hAnsi="Times New Roman CYR" w:eastAsia="Times New Roman CYR"/>
                <w:sz w:val="22"/>
                <w:szCs w:val="24"/>
              </w:rPr>
            </w:pPr>
          </w:p>
        </w:tc>
      </w:tr>
      <w:tr w14:paraId="2BD6743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84970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Зобовза цінними паперами</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C410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11EE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B741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1357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516D165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A6B91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5E689B8D">
            <w:pPr>
              <w:spacing w:beforeLines="0" w:afterLines="0"/>
              <w:jc w:val="left"/>
              <w:rPr>
                <w:rFonts w:hint="default" w:ascii="Times New Roman CYR" w:hAnsi="Times New Roman CYR" w:eastAsia="Times New Roman CYR"/>
                <w:sz w:val="22"/>
                <w:szCs w:val="24"/>
              </w:rPr>
            </w:pPr>
          </w:p>
        </w:tc>
      </w:tr>
      <w:tr w14:paraId="04B40C3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A2548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облігаціями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4BB3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96BB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A909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F87C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08CDA3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37514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іпотечними цінними паперами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F855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43FA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462D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E26A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70AE2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EBBAC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сертифікатами ФОН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FB35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733E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30CA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2D53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01D447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3D2D7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векселями (всього):</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109C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8E5C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B96B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0FBD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6FDBDE1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21523676">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65E2D8AC">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3A5880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46FCA7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25A4CDF6">
            <w:pPr>
              <w:spacing w:beforeLines="0" w:afterLines="0"/>
              <w:jc w:val="center"/>
              <w:rPr>
                <w:rFonts w:hint="default" w:ascii="Times New Roman CYR" w:hAnsi="Times New Roman CYR" w:eastAsia="Times New Roman CYR"/>
                <w:sz w:val="22"/>
                <w:szCs w:val="24"/>
              </w:rPr>
            </w:pPr>
          </w:p>
        </w:tc>
      </w:tr>
      <w:tr w14:paraId="32111E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2A348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іншими цінними паперами (у тому числі за деривативами)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F3C1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BF68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6819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14D8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3D2560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43F33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фінансовими інвестиціями в корпоративні права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A29F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1757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9A0A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0066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386144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17611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Податкові зобов'язання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6060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1BB1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492</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9179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7499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300017B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163B1EC1">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65E9BF20">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2D525F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32FDF0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0FD8BAEB">
            <w:pPr>
              <w:spacing w:beforeLines="0" w:afterLines="0"/>
              <w:jc w:val="center"/>
              <w:rPr>
                <w:rFonts w:hint="default" w:ascii="Times New Roman CYR" w:hAnsi="Times New Roman CYR" w:eastAsia="Times New Roman CYR"/>
                <w:sz w:val="22"/>
                <w:szCs w:val="24"/>
              </w:rPr>
            </w:pPr>
          </w:p>
        </w:tc>
      </w:tr>
      <w:tr w14:paraId="185024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59008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Фінансова допомога на зворотній основі</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9782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6562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36E5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7158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305AA3F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7F159D94">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78E19F7E">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0BC489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243838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16FDAA36">
            <w:pPr>
              <w:spacing w:beforeLines="0" w:afterLines="0"/>
              <w:jc w:val="center"/>
              <w:rPr>
                <w:rFonts w:hint="default" w:ascii="Times New Roman CYR" w:hAnsi="Times New Roman CYR" w:eastAsia="Times New Roman CYR"/>
                <w:sz w:val="22"/>
                <w:szCs w:val="24"/>
              </w:rPr>
            </w:pPr>
          </w:p>
        </w:tc>
      </w:tr>
      <w:tr w14:paraId="460970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36566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зобов'язання та забезпечення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5D42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50C8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27,3</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AD05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859A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5206F5A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04802368">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4CA822B9">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72A10A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257E6E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1F3D25B9">
            <w:pPr>
              <w:spacing w:beforeLines="0" w:afterLines="0"/>
              <w:jc w:val="center"/>
              <w:rPr>
                <w:rFonts w:hint="default" w:ascii="Times New Roman CYR" w:hAnsi="Times New Roman CYR" w:eastAsia="Times New Roman CYR"/>
                <w:sz w:val="22"/>
                <w:szCs w:val="24"/>
              </w:rPr>
            </w:pPr>
          </w:p>
        </w:tc>
      </w:tr>
      <w:tr w14:paraId="5A383C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15E0C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зобов'язань та забезпечень</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701F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A844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519,3</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9C93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C5ED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bl>
    <w:p w14:paraId="5CE625AA">
      <w:pPr>
        <w:spacing w:beforeLines="0" w:afterLines="0"/>
        <w:jc w:val="left"/>
        <w:rPr>
          <w:rFonts w:hint="default" w:ascii="Times New Roman CYR" w:hAnsi="Times New Roman CYR" w:eastAsia="Times New Roman CYR"/>
          <w:sz w:val="22"/>
          <w:szCs w:val="24"/>
        </w:rPr>
      </w:pPr>
    </w:p>
    <w:p w14:paraId="60831B38">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осіб, послугами яких користується особа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308E530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2754CB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CFB0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ПУБЛIЧНЕ АКЦIОНЕРНЕ ТОВАРИСТВО "НАЦIОНАЛЬНИЙ ДЕПОЗИТАРIЙ УКРАЇНИ"</w:t>
            </w:r>
          </w:p>
        </w:tc>
      </w:tr>
      <w:tr w14:paraId="1A1346D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5FB411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579403">
            <w:pPr>
              <w:spacing w:beforeLines="0" w:afterLines="0"/>
              <w:jc w:val="center"/>
              <w:rPr>
                <w:rFonts w:hint="default" w:ascii="Times New Roman CYR" w:hAnsi="Times New Roman CYR" w:eastAsia="Times New Roman CYR"/>
                <w:sz w:val="22"/>
                <w:szCs w:val="24"/>
              </w:rPr>
            </w:pPr>
          </w:p>
        </w:tc>
      </w:tr>
      <w:tr w14:paraId="533567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ECD11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0C890F">
            <w:pPr>
              <w:spacing w:beforeLines="0" w:afterLines="0"/>
              <w:jc w:val="center"/>
              <w:rPr>
                <w:rFonts w:hint="default" w:ascii="Times New Roman CYR" w:hAnsi="Times New Roman CYR" w:eastAsia="Times New Roman CYR"/>
                <w:sz w:val="22"/>
                <w:szCs w:val="24"/>
              </w:rPr>
            </w:pPr>
          </w:p>
        </w:tc>
      </w:tr>
      <w:tr w14:paraId="381313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2F671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622EE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r>
      <w:tr w14:paraId="7C1B236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C93BD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616C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30370711</w:t>
            </w:r>
          </w:p>
        </w:tc>
      </w:tr>
      <w:tr w14:paraId="7789ED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867FE8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C7642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04107, Україна, Київ, Якубенкiвська,7-г</w:t>
            </w:r>
          </w:p>
        </w:tc>
      </w:tr>
      <w:tr w14:paraId="1DEAFCE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FECCF7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1059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Рiшення № 2092</w:t>
            </w:r>
          </w:p>
        </w:tc>
      </w:tr>
      <w:tr w14:paraId="3C6D3D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1A3BB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88693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37F414F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E7AEF0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50C0C3">
            <w:pPr>
              <w:spacing w:beforeLines="0" w:afterLines="0"/>
              <w:jc w:val="center"/>
              <w:rPr>
                <w:rFonts w:hint="default" w:ascii="Times New Roman CYR" w:hAnsi="Times New Roman CYR" w:eastAsia="Times New Roman CYR"/>
                <w:sz w:val="22"/>
                <w:szCs w:val="24"/>
              </w:rPr>
            </w:pPr>
          </w:p>
        </w:tc>
      </w:tr>
      <w:tr w14:paraId="5564E40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532F27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598F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363-04-00</w:t>
            </w:r>
          </w:p>
        </w:tc>
      </w:tr>
      <w:tr w14:paraId="28E9E93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AD0DE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3C7E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640F6C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18.20 - Тиражування звуко-, вiдеозаписiв i програмного забезпечення</w:t>
            </w:r>
          </w:p>
          <w:p w14:paraId="79145B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62.01 - Комп'ютерне програмування</w:t>
            </w:r>
          </w:p>
        </w:tc>
      </w:tr>
      <w:tr w14:paraId="42E637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68746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33D97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Обслуговує випуск цiнних паперiв Товариства</w:t>
            </w:r>
          </w:p>
        </w:tc>
      </w:tr>
    </w:tbl>
    <w:p w14:paraId="18CF0151">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74CAF5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B93A2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F4437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установа "Агентство з розвитку iнфраструктури фондового ринку України"</w:t>
            </w:r>
          </w:p>
        </w:tc>
      </w:tr>
      <w:tr w14:paraId="7F98E9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B66B1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6173D8">
            <w:pPr>
              <w:spacing w:beforeLines="0" w:afterLines="0"/>
              <w:jc w:val="center"/>
              <w:rPr>
                <w:rFonts w:hint="default" w:ascii="Times New Roman CYR" w:hAnsi="Times New Roman CYR" w:eastAsia="Times New Roman CYR"/>
                <w:sz w:val="22"/>
                <w:szCs w:val="24"/>
              </w:rPr>
            </w:pPr>
          </w:p>
        </w:tc>
      </w:tr>
      <w:tr w14:paraId="14EBAF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16461E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3EE90CE">
            <w:pPr>
              <w:spacing w:beforeLines="0" w:afterLines="0"/>
              <w:jc w:val="center"/>
              <w:rPr>
                <w:rFonts w:hint="default" w:ascii="Times New Roman CYR" w:hAnsi="Times New Roman CYR" w:eastAsia="Times New Roman CYR"/>
                <w:sz w:val="22"/>
                <w:szCs w:val="24"/>
              </w:rPr>
            </w:pPr>
          </w:p>
        </w:tc>
      </w:tr>
      <w:tr w14:paraId="156A03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1FCBE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58C9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організація (установа, заклад)</w:t>
            </w:r>
          </w:p>
        </w:tc>
      </w:tr>
      <w:tr w14:paraId="2AB3EC2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98D6E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C875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21676262</w:t>
            </w:r>
          </w:p>
        </w:tc>
      </w:tr>
      <w:tr w14:paraId="59A3F6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145AF8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AE43F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03150, Україна, Київ, вул. Антоновича,  51, офiс 1206</w:t>
            </w:r>
          </w:p>
        </w:tc>
      </w:tr>
      <w:tr w14:paraId="20838D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93009E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0D584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DR/00001/APA</w:t>
            </w:r>
          </w:p>
        </w:tc>
      </w:tr>
      <w:tr w14:paraId="606AA51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0F0BC8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436CE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22B522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540B1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FDF3DBE">
            <w:pPr>
              <w:spacing w:beforeLines="0" w:afterLines="0"/>
              <w:jc w:val="center"/>
              <w:rPr>
                <w:rFonts w:hint="default" w:ascii="Times New Roman CYR" w:hAnsi="Times New Roman CYR" w:eastAsia="Times New Roman CYR"/>
                <w:sz w:val="22"/>
                <w:szCs w:val="24"/>
              </w:rPr>
            </w:pPr>
          </w:p>
        </w:tc>
      </w:tr>
      <w:tr w14:paraId="63863B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69464F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69555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28756-0</w:t>
            </w:r>
          </w:p>
        </w:tc>
      </w:tr>
      <w:tr w14:paraId="0F87AC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039033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40D91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39FBBA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84.13 - Регулювання та сприяння ефективному веденню економiчної дiяльностi</w:t>
            </w:r>
          </w:p>
          <w:p w14:paraId="27B54B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62.02 - Консультування з питань iнформатизацiї</w:t>
            </w:r>
          </w:p>
        </w:tc>
      </w:tr>
      <w:tr w14:paraId="228D2CF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936C7B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E02D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Дiяльнiсть з оприлюднення регульованої iнформацiї вiд iменi учасникiв фондового ринку</w:t>
            </w:r>
          </w:p>
        </w:tc>
      </w:tr>
    </w:tbl>
    <w:p w14:paraId="4E58D6E9">
      <w:pPr>
        <w:spacing w:beforeLines="0" w:afterLines="0"/>
        <w:jc w:val="left"/>
        <w:rPr>
          <w:rFonts w:hint="default" w:ascii="Times New Roman CYR" w:hAnsi="Times New Roman CYR" w:eastAsia="Times New Roman CYR"/>
          <w:sz w:val="22"/>
          <w:szCs w:val="24"/>
        </w:rPr>
      </w:pPr>
    </w:p>
    <w:p w14:paraId="379EB626">
      <w:pPr>
        <w:spacing w:beforeLines="0" w:afterLines="0"/>
        <w:jc w:val="left"/>
        <w:rPr>
          <w:rFonts w:hint="default" w:ascii="Times New Roman CYR" w:hAnsi="Times New Roman CYR" w:eastAsia="Times New Roman CYR"/>
          <w:sz w:val="22"/>
          <w:szCs w:val="24"/>
        </w:rPr>
      </w:pPr>
    </w:p>
    <w:p w14:paraId="2AEFD5A0">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6AE4C1A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 Інформація щодо капіталу та цінних паперів</w:t>
      </w:r>
    </w:p>
    <w:p w14:paraId="7F528B1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Структура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2000"/>
        <w:gridCol w:w="2000"/>
        <w:gridCol w:w="2000"/>
        <w:gridCol w:w="1900"/>
        <w:gridCol w:w="2000"/>
        <w:gridCol w:w="2000"/>
        <w:gridCol w:w="3000"/>
      </w:tblGrid>
      <w:tr w14:paraId="15DF76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5547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DD35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та/або клас акцій</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4067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019B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C76A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9F5D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D092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Наявність публічної пропозиції та/або допуску до торгів на організованих ринках капіталу</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A32B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Облік часток особи в обліковій системі часток</w:t>
            </w:r>
          </w:p>
        </w:tc>
      </w:tr>
      <w:tr w14:paraId="533BC6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4007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FF0B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AF7D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D391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E220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EA2D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2C11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24A2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0DA74A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D745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576FE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Акцiя проста бездокументарна iменна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41B3E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9A3B9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CBD5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D9247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 зазначенi та регулюються чинним законодавством України, Статутом товаритства.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B665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Публiчної пропозицiї та/або допуску до торгiв на органiзованих ринках капiталу не було.</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F219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w:t>
            </w:r>
          </w:p>
        </w:tc>
      </w:tr>
    </w:tbl>
    <w:p w14:paraId="7F0F90BB">
      <w:pPr>
        <w:spacing w:beforeLines="0" w:afterLines="0"/>
        <w:jc w:val="left"/>
        <w:rPr>
          <w:rFonts w:hint="default" w:ascii="Times New Roman CYR" w:hAnsi="Times New Roman CYR" w:eastAsia="Times New Roman CYR"/>
          <w:sz w:val="22"/>
          <w:szCs w:val="24"/>
        </w:rPr>
      </w:pPr>
    </w:p>
    <w:p w14:paraId="4E600C2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3. Цінні папери</w:t>
      </w:r>
    </w:p>
    <w:p w14:paraId="1311097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випуски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50"/>
        <w:gridCol w:w="1350"/>
        <w:gridCol w:w="2400"/>
        <w:gridCol w:w="1700"/>
        <w:gridCol w:w="1600"/>
        <w:gridCol w:w="1350"/>
        <w:gridCol w:w="1450"/>
        <w:gridCol w:w="1200"/>
        <w:gridCol w:w="1400"/>
        <w:gridCol w:w="1700"/>
      </w:tblGrid>
      <w:tr w14:paraId="22DB0D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DAF4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80A7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8D93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органу, що зареєстрував випуск</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3F7B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9F15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цінного папера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A835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існування та форма випуску</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F58A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BC04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E0FD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D81F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у статутному капіталі (у відсотках)</w:t>
            </w:r>
          </w:p>
        </w:tc>
      </w:tr>
      <w:tr w14:paraId="50F0F0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084B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3593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3859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FFF2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63BE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A650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22A2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12E6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263A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6A8B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r>
      <w:tr w14:paraId="3270F1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FA07E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22.10.2010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36065B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2670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комiсiя з цiнних паперiв та фондового ринку.</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2A1542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UA40001144540</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top"/>
          </w:tcPr>
          <w:p w14:paraId="014FF0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Акція проста бездокументарна іменна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1D05F6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Електронні іменні</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30536B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C79B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top"/>
          </w:tcPr>
          <w:p w14:paraId="1267BE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42 899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40A4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4DC2A3E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6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1B5CC1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2800" w:type="dxa"/>
            <w:gridSpan w:val="8"/>
            <w:tcBorders>
              <w:top w:val="single" w:color="auto" w:sz="6" w:space="0"/>
              <w:left w:val="single" w:color="auto" w:sz="6" w:space="0"/>
              <w:bottom w:val="single" w:color="auto" w:sz="6" w:space="0"/>
              <w:right w:val="single" w:color="auto" w:sz="6" w:space="0"/>
              <w:tl2br w:val="nil"/>
              <w:tr2bl w:val="nil"/>
            </w:tcBorders>
            <w:noWrap w:val="0"/>
            <w:vAlign w:val="center"/>
          </w:tcPr>
          <w:p w14:paraId="3DFBCC1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2010 роцi, на пiдставi рiшення Загальних зборiв акцiонерiв форма iснування акцiй змiнена на бездокументарну. Свiдоцтво про випуск акцiй у документарнiй формi, зареєстроване Державною комiсiєю з цiнних паперiв та фондового ринку 22.03.2004р. за № 144/1/04, втратило чиннiсть. 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Iншi цiннi папери, емiсiя яких пiдлягає реєстрацiї, крiм акцiй простих iменних, Товариством не випускались.</w:t>
            </w:r>
          </w:p>
        </w:tc>
      </w:tr>
    </w:tbl>
    <w:p w14:paraId="702B1C60">
      <w:pPr>
        <w:spacing w:beforeLines="0" w:afterLines="0"/>
        <w:jc w:val="left"/>
        <w:rPr>
          <w:rFonts w:hint="default" w:ascii="Times New Roman CYR" w:hAnsi="Times New Roman CYR" w:eastAsia="Times New Roman CYR"/>
          <w:sz w:val="22"/>
          <w:szCs w:val="24"/>
        </w:rPr>
      </w:pPr>
    </w:p>
    <w:p w14:paraId="1A90BAB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наявність у власності працівників особи акцій у розмірі понад 0,1 % розміру статутного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00"/>
        <w:gridCol w:w="2000"/>
        <w:gridCol w:w="2000"/>
        <w:gridCol w:w="2000"/>
        <w:gridCol w:w="2000"/>
        <w:gridCol w:w="1700"/>
        <w:gridCol w:w="1700"/>
      </w:tblGrid>
      <w:tr w14:paraId="5B05B28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322C0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CB5A8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DF79F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A414F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CDDCC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31D1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за типами акцій</w:t>
            </w:r>
          </w:p>
        </w:tc>
      </w:tr>
      <w:tr w14:paraId="10B942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7D709B8">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953A736">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6DC94D0">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D59AB84">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F506C7E">
            <w:pPr>
              <w:spacing w:beforeLines="0" w:afterLines="0"/>
              <w:jc w:val="center"/>
              <w:rPr>
                <w:rFonts w:hint="default" w:ascii="Times New Roman CYR" w:hAnsi="Times New Roman CYR" w:eastAsia="Times New Roman CYR"/>
                <w:sz w:val="22"/>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527C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CF7A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привілейовані іменні</w:t>
            </w:r>
          </w:p>
        </w:tc>
      </w:tr>
      <w:tr w14:paraId="5E40E35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BE82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1B30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1DC1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EB37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715D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4107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90EC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r>
      <w:tr w14:paraId="3D3597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7161B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6E024B">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D2310C">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93BE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1B242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01653D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0F6B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448E36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B8C2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DCB12F">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7D90EF">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B658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6F9A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2861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C787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bl>
    <w:p w14:paraId="38C14CF1">
      <w:pPr>
        <w:spacing w:beforeLines="0" w:afterLines="0"/>
        <w:jc w:val="left"/>
        <w:rPr>
          <w:rFonts w:hint="default" w:ascii="Times New Roman CYR" w:hAnsi="Times New Roman CYR" w:eastAsia="Times New Roman CYR"/>
          <w:sz w:val="22"/>
          <w:szCs w:val="24"/>
        </w:rPr>
      </w:pPr>
    </w:p>
    <w:p w14:paraId="67614A0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500"/>
        <w:gridCol w:w="2000"/>
        <w:gridCol w:w="2000"/>
        <w:gridCol w:w="2000"/>
        <w:gridCol w:w="2100"/>
        <w:gridCol w:w="1500"/>
        <w:gridCol w:w="1500"/>
        <w:gridCol w:w="2800"/>
      </w:tblGrid>
      <w:tr w14:paraId="5DBD84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079F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CD78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BD12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1E13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у випуску, шт.</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AAC4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78E4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кількість голосуючих акцій, шт.</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4E2C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обмежено, шт.</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8DE8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за результатами обмеження таких прав передано іншій особі, шт.</w:t>
            </w:r>
          </w:p>
        </w:tc>
      </w:tr>
      <w:tr w14:paraId="2AAA66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7D87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702A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0F9E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5895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0287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7B29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F1CB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6DB0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3E8EF0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8C92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22.10.2010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4107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8CAF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UA4000114540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1E47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1978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42 899</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FE45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161 924</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C6684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top"/>
          </w:tcPr>
          <w:p w14:paraId="09EE3D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1814E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59D03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3900" w:type="dxa"/>
            <w:gridSpan w:val="7"/>
            <w:tcBorders>
              <w:top w:val="single" w:color="auto" w:sz="6" w:space="0"/>
              <w:left w:val="single" w:color="auto" w:sz="6" w:space="0"/>
              <w:bottom w:val="single" w:color="auto" w:sz="6" w:space="0"/>
              <w:right w:val="single" w:color="auto" w:sz="6" w:space="0"/>
              <w:tl2br w:val="nil"/>
              <w:tr2bl w:val="nil"/>
            </w:tcBorders>
            <w:noWrap w:val="0"/>
            <w:vAlign w:val="top"/>
          </w:tcPr>
          <w:p w14:paraId="1A9A9A72">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Характеристика обмеження: Кiлькiсть голосуючих акцiй, права голосу за якими обмежено - 0. </w:t>
            </w:r>
          </w:p>
          <w:p w14:paraId="63F5354F">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Кiлькiсть голосуючих акцiй, права голосу за якими за результатами обмеження таких прав передано iншiй особi - 0.</w:t>
            </w:r>
          </w:p>
        </w:tc>
      </w:tr>
    </w:tbl>
    <w:p w14:paraId="2A682CC1">
      <w:pPr>
        <w:spacing w:beforeLines="0" w:afterLines="0"/>
        <w:jc w:val="left"/>
        <w:rPr>
          <w:rFonts w:hint="default" w:ascii="Times New Roman CYR" w:hAnsi="Times New Roman CYR" w:eastAsia="Times New Roman CYR"/>
          <w:sz w:val="22"/>
          <w:szCs w:val="24"/>
        </w:rPr>
      </w:pPr>
    </w:p>
    <w:p w14:paraId="273526C5">
      <w:pPr>
        <w:spacing w:beforeLines="0" w:afterLines="0"/>
        <w:jc w:val="left"/>
        <w:rPr>
          <w:rFonts w:hint="default" w:ascii="Times New Roman CYR" w:hAnsi="Times New Roman CYR" w:eastAsia="Times New Roman CYR"/>
          <w:sz w:val="22"/>
          <w:szCs w:val="24"/>
        </w:rPr>
        <w:sectPr>
          <w:pgSz w:w="16837" w:h="11905" w:orient="landscape"/>
          <w:pgMar w:top="570" w:right="720" w:bottom="570" w:left="720" w:header="720" w:footer="720" w:gutter="0"/>
          <w:lnNumType w:countBy="0" w:distance="360"/>
          <w:cols w:space="720" w:num="1"/>
        </w:sectPr>
      </w:pPr>
    </w:p>
    <w:p w14:paraId="24723397">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III. Фінансова інформація</w:t>
      </w:r>
    </w:p>
    <w:p w14:paraId="564A02B5">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Твердження щодо річної інформації</w:t>
      </w:r>
    </w:p>
    <w:p w14:paraId="149632F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Офiцiйна позицiя осiб, якi здiйснюють управлiнськi функцiї та пiдписують рiчну iнформацiю емiтента, така, що, на скiльки це їм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та стан емiтента разом з описом основних ризикiв та невизначеностей, з якими Товариство стикається у своїй господарськiй дiяльностi.</w:t>
      </w:r>
    </w:p>
    <w:p w14:paraId="290E3D16">
      <w:pPr>
        <w:spacing w:beforeLines="0" w:afterLines="0"/>
        <w:jc w:val="left"/>
        <w:rPr>
          <w:rFonts w:hint="default" w:ascii="Times New Roman CYR" w:hAnsi="Times New Roman CYR" w:eastAsia="Times New Roman CYR"/>
          <w:sz w:val="24"/>
          <w:szCs w:val="24"/>
        </w:rPr>
      </w:pPr>
    </w:p>
    <w:p w14:paraId="2E82845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IV. Нефінансова інформація</w:t>
      </w:r>
    </w:p>
    <w:p w14:paraId="489CC3D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Звіт керівництва (звіт про управління)</w:t>
      </w:r>
    </w:p>
    <w:p w14:paraId="414D5E0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Звернення до акціонерів/учасників та інших стейкхолдерів від голови ради особи</w:t>
      </w:r>
    </w:p>
    <w:p w14:paraId="798BBC0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акцiонерiв/учасникiв та iнших стейкхолдерiв вiд голови ради не було.</w:t>
      </w:r>
    </w:p>
    <w:p w14:paraId="7DA75E78">
      <w:pPr>
        <w:spacing w:beforeLines="0" w:afterLines="0"/>
        <w:rPr>
          <w:rFonts w:hint="default" w:ascii="Times New Roman CYR" w:hAnsi="Times New Roman CYR" w:eastAsia="Times New Roman CYR"/>
          <w:sz w:val="24"/>
          <w:szCs w:val="24"/>
        </w:rPr>
      </w:pPr>
    </w:p>
    <w:p w14:paraId="1733D02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Звернення до акціонерів/учасників та інших стейкхолдерів від керівника особи</w:t>
      </w:r>
    </w:p>
    <w:p w14:paraId="1C50512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акцiонерiв/учасникiв та iнших стейкхолдерiв вiд директора не було.</w:t>
      </w:r>
    </w:p>
    <w:p w14:paraId="2F6499E7">
      <w:pPr>
        <w:spacing w:beforeLines="0" w:afterLines="0"/>
        <w:rPr>
          <w:rFonts w:hint="default" w:ascii="Times New Roman CYR" w:hAnsi="Times New Roman CYR" w:eastAsia="Times New Roman CYR"/>
          <w:sz w:val="24"/>
          <w:szCs w:val="24"/>
        </w:rPr>
      </w:pPr>
    </w:p>
    <w:p w14:paraId="5A8EDE9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Інформація про розвиток та вірогідні перспективи подальшого розвитку особи</w:t>
      </w:r>
    </w:p>
    <w:p w14:paraId="0180528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дiяльнiсть тимчасово не здiйснює.</w:t>
      </w:r>
    </w:p>
    <w:p w14:paraId="1B21C29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Товариство не має планiв розвитку. </w:t>
      </w:r>
    </w:p>
    <w:p w14:paraId="1456D9B2">
      <w:pPr>
        <w:spacing w:beforeLines="0" w:afterLines="0"/>
        <w:rPr>
          <w:rFonts w:hint="default" w:ascii="Times New Roman CYR" w:hAnsi="Times New Roman CYR" w:eastAsia="Times New Roman CYR"/>
          <w:sz w:val="24"/>
          <w:szCs w:val="24"/>
        </w:rPr>
      </w:pPr>
    </w:p>
    <w:p w14:paraId="12A4159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62AB67C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укладало деривативних контрактiв та не вчиняло правочинiв щодо деривативних цiнних паперiв.</w:t>
      </w:r>
    </w:p>
    <w:p w14:paraId="00E8E1EE">
      <w:pPr>
        <w:spacing w:beforeLines="0" w:afterLines="0"/>
        <w:rPr>
          <w:rFonts w:hint="default" w:ascii="Times New Roman CYR" w:hAnsi="Times New Roman CYR" w:eastAsia="Times New Roman CYR"/>
          <w:sz w:val="24"/>
          <w:szCs w:val="24"/>
        </w:rPr>
      </w:pPr>
    </w:p>
    <w:p w14:paraId="328F239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26BBC7B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завдання та полiтику особи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вiдсутня.</w:t>
      </w:r>
    </w:p>
    <w:p w14:paraId="1BA1814E">
      <w:pPr>
        <w:spacing w:beforeLines="0" w:afterLines="0"/>
        <w:rPr>
          <w:rFonts w:hint="default" w:ascii="Times New Roman CYR" w:hAnsi="Times New Roman CYR" w:eastAsia="Times New Roman CYR"/>
          <w:sz w:val="24"/>
          <w:szCs w:val="24"/>
        </w:rPr>
      </w:pPr>
    </w:p>
    <w:p w14:paraId="5A4D790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Схильність особи до цінових ризиків, кредитного ризику, ризику ліквідності та/або ризику грошових потоків</w:t>
      </w:r>
    </w:p>
    <w:p w14:paraId="37D3215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схильнiсть особи до цiнових ризикiв, кредитного ризику, ризику лiквiдностi та/або ризику грошових потокiв вiдсутня.</w:t>
      </w:r>
    </w:p>
    <w:p w14:paraId="239344D1">
      <w:pPr>
        <w:spacing w:beforeLines="0" w:afterLines="0"/>
        <w:rPr>
          <w:rFonts w:hint="default" w:ascii="Times New Roman CYR" w:hAnsi="Times New Roman CYR" w:eastAsia="Times New Roman CYR"/>
          <w:sz w:val="24"/>
          <w:szCs w:val="24"/>
        </w:rPr>
      </w:pPr>
    </w:p>
    <w:p w14:paraId="4072C6B6">
      <w:pPr>
        <w:spacing w:beforeLines="0" w:afterLines="0"/>
        <w:jc w:val="left"/>
        <w:rPr>
          <w:rFonts w:hint="default" w:ascii="Times New Roman CYR" w:hAnsi="Times New Roman CYR" w:eastAsia="Times New Roman CYR"/>
          <w:sz w:val="24"/>
          <w:szCs w:val="24"/>
        </w:rPr>
      </w:pPr>
    </w:p>
    <w:p w14:paraId="47C445D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4. Рада</w:t>
      </w:r>
    </w:p>
    <w:p w14:paraId="5F5D7CA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Персональний склад ради та її комітетів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150"/>
        <w:gridCol w:w="1150"/>
        <w:gridCol w:w="1150"/>
        <w:gridCol w:w="1150"/>
        <w:gridCol w:w="1150"/>
        <w:gridCol w:w="1250"/>
      </w:tblGrid>
      <w:tr w14:paraId="06E895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9FD90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члена ради, строк повноважень у звітному періоді</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00FB3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D0F4B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B5354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Голова/ заступник голови ради</w:t>
            </w:r>
          </w:p>
        </w:tc>
        <w:tc>
          <w:tcPr>
            <w:tcW w:w="355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5E057C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Голова / член комітету ради</w:t>
            </w:r>
          </w:p>
        </w:tc>
      </w:tr>
      <w:tr w14:paraId="2056F08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A80A0E2">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D4B14A2">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8752194">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F63C236">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F398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- 1</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0DA8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- 2</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4134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- 3</w:t>
            </w:r>
          </w:p>
        </w:tc>
      </w:tr>
      <w:tr w14:paraId="06BC68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510B2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Роман Вiкторович, 01.01.2020-31.12.2020</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748F36AE">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D3530F3">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3C037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1A2E32E">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EAE22FD">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30E4366">
            <w:pPr>
              <w:spacing w:beforeLines="0" w:afterLines="0"/>
              <w:jc w:val="center"/>
              <w:rPr>
                <w:rFonts w:hint="default" w:ascii="Times New Roman CYR" w:hAnsi="Times New Roman CYR" w:eastAsia="Times New Roman CYR"/>
                <w:sz w:val="22"/>
                <w:szCs w:val="24"/>
              </w:rPr>
            </w:pPr>
          </w:p>
        </w:tc>
      </w:tr>
      <w:tr w14:paraId="639E371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7D21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Федоренко Iгор Валерiйович, 01.01.2020-31.12.2020</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E1392E5">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58FECDE">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72343B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Y</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F39D34A">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A6F3512">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2716810">
            <w:pPr>
              <w:spacing w:beforeLines="0" w:afterLines="0"/>
              <w:jc w:val="center"/>
              <w:rPr>
                <w:rFonts w:hint="default" w:ascii="Times New Roman CYR" w:hAnsi="Times New Roman CYR" w:eastAsia="Times New Roman CYR"/>
                <w:sz w:val="22"/>
                <w:szCs w:val="24"/>
              </w:rPr>
            </w:pPr>
          </w:p>
        </w:tc>
      </w:tr>
      <w:tr w14:paraId="39125D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B23B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Бублiй Галина Пилипiвна, 01.01.2020-31.12.2020</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7494421E">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E212CF0">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53B19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Y</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6B6AAD2">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559EB20">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AFDEF0E">
            <w:pPr>
              <w:spacing w:beforeLines="0" w:afterLines="0"/>
              <w:jc w:val="center"/>
              <w:rPr>
                <w:rFonts w:hint="default" w:ascii="Times New Roman CYR" w:hAnsi="Times New Roman CYR" w:eastAsia="Times New Roman CYR"/>
                <w:sz w:val="22"/>
                <w:szCs w:val="24"/>
              </w:rPr>
            </w:pPr>
          </w:p>
        </w:tc>
      </w:tr>
    </w:tbl>
    <w:p w14:paraId="144A1EB2">
      <w:pPr>
        <w:spacing w:beforeLines="0" w:afterLines="0"/>
        <w:jc w:val="left"/>
        <w:rPr>
          <w:rFonts w:hint="default" w:ascii="Times New Roman CYR" w:hAnsi="Times New Roman CYR" w:eastAsia="Times New Roman CYR"/>
          <w:sz w:val="22"/>
          <w:szCs w:val="24"/>
        </w:rPr>
      </w:pPr>
    </w:p>
    <w:p w14:paraId="483E71B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одноосібний виконавчий орган та загальний опис прийнятих рішень</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500"/>
        <w:gridCol w:w="6500"/>
      </w:tblGrid>
      <w:tr w14:paraId="010E35F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C30D98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D7ACA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Наумчук Вiктор Михайлович</w:t>
            </w:r>
          </w:p>
        </w:tc>
      </w:tr>
      <w:tr w14:paraId="7102967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5AE9E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0303B70">
            <w:pPr>
              <w:spacing w:beforeLines="0" w:afterLines="0"/>
              <w:jc w:val="left"/>
              <w:rPr>
                <w:rFonts w:hint="default" w:ascii="Times New Roman CYR" w:hAnsi="Times New Roman CYR" w:eastAsia="Times New Roman CYR"/>
                <w:sz w:val="24"/>
                <w:szCs w:val="24"/>
              </w:rPr>
            </w:pPr>
          </w:p>
        </w:tc>
      </w:tr>
      <w:tr w14:paraId="745A4B5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17B87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E26A74">
            <w:pPr>
              <w:spacing w:beforeLines="0" w:afterLines="0"/>
              <w:jc w:val="left"/>
              <w:rPr>
                <w:rFonts w:hint="default" w:ascii="Times New Roman CYR" w:hAnsi="Times New Roman CYR" w:eastAsia="Times New Roman CYR"/>
                <w:sz w:val="24"/>
                <w:szCs w:val="24"/>
              </w:rPr>
            </w:pPr>
          </w:p>
        </w:tc>
      </w:tr>
      <w:tr w14:paraId="51096B7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2EF37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рішень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8B170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Приймались рiшення стосовно основних напрямкiв фiнансово-господарської дiяльностi Товариства та визначення заходiв, запланованих для забезпечення стабiльного функцiонування Товариства.</w:t>
            </w:r>
          </w:p>
        </w:tc>
      </w:tr>
      <w:tr w14:paraId="5CD35B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8EA1C4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заступника(ів)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0D4CE13">
            <w:pPr>
              <w:spacing w:beforeLines="0" w:afterLines="0"/>
              <w:jc w:val="left"/>
              <w:rPr>
                <w:rFonts w:hint="default" w:ascii="Times New Roman CYR" w:hAnsi="Times New Roman CYR" w:eastAsia="Times New Roman CYR"/>
                <w:sz w:val="24"/>
                <w:szCs w:val="24"/>
              </w:rPr>
            </w:pPr>
          </w:p>
        </w:tc>
      </w:tr>
      <w:tr w14:paraId="4375EA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4FCC5F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659A7D">
            <w:pPr>
              <w:spacing w:beforeLines="0" w:afterLines="0"/>
              <w:jc w:val="left"/>
              <w:rPr>
                <w:rFonts w:hint="default" w:ascii="Times New Roman CYR" w:hAnsi="Times New Roman CYR" w:eastAsia="Times New Roman CYR"/>
                <w:sz w:val="24"/>
                <w:szCs w:val="24"/>
              </w:rPr>
            </w:pPr>
          </w:p>
        </w:tc>
      </w:tr>
      <w:tr w14:paraId="0F36ABA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DE8E02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12C7DEC">
            <w:pPr>
              <w:spacing w:beforeLines="0" w:afterLines="0"/>
              <w:jc w:val="left"/>
              <w:rPr>
                <w:rFonts w:hint="default" w:ascii="Times New Roman CYR" w:hAnsi="Times New Roman CYR" w:eastAsia="Times New Roman CYR"/>
                <w:sz w:val="24"/>
                <w:szCs w:val="24"/>
              </w:rPr>
            </w:pPr>
          </w:p>
        </w:tc>
      </w:tr>
      <w:tr w14:paraId="5A21F37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56061D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Сфера відповідальності заступника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4E9AB82">
            <w:pPr>
              <w:spacing w:beforeLines="0" w:afterLines="0"/>
              <w:rPr>
                <w:rFonts w:hint="default" w:ascii="Times New Roman CYR" w:hAnsi="Times New Roman CYR" w:eastAsia="Times New Roman CYR"/>
                <w:sz w:val="22"/>
                <w:szCs w:val="24"/>
              </w:rPr>
            </w:pPr>
          </w:p>
        </w:tc>
      </w:tr>
      <w:tr w14:paraId="67121D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FD3CF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900E8C">
            <w:pPr>
              <w:spacing w:beforeLines="0" w:afterLines="0"/>
              <w:jc w:val="left"/>
              <w:rPr>
                <w:rFonts w:hint="default" w:ascii="Times New Roman CYR" w:hAnsi="Times New Roman CYR" w:eastAsia="Times New Roman CYR"/>
                <w:sz w:val="24"/>
                <w:szCs w:val="24"/>
              </w:rPr>
            </w:pPr>
          </w:p>
        </w:tc>
      </w:tr>
      <w:tr w14:paraId="7EAC6D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B39C75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90C48A2">
            <w:pPr>
              <w:spacing w:beforeLines="0" w:afterLines="0"/>
              <w:jc w:val="left"/>
              <w:rPr>
                <w:rFonts w:hint="default" w:ascii="Times New Roman CYR" w:hAnsi="Times New Roman CYR" w:eastAsia="Times New Roman CYR"/>
                <w:sz w:val="24"/>
                <w:szCs w:val="24"/>
              </w:rPr>
            </w:pPr>
          </w:p>
        </w:tc>
      </w:tr>
      <w:tr w14:paraId="736D66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1E686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70DCCF">
            <w:pPr>
              <w:spacing w:beforeLines="0" w:afterLines="0"/>
              <w:jc w:val="left"/>
              <w:rPr>
                <w:rFonts w:hint="default" w:ascii="Times New Roman CYR" w:hAnsi="Times New Roman CYR" w:eastAsia="Times New Roman CYR"/>
                <w:sz w:val="24"/>
                <w:szCs w:val="24"/>
              </w:rPr>
            </w:pPr>
          </w:p>
        </w:tc>
      </w:tr>
    </w:tbl>
    <w:p w14:paraId="219E2F9F">
      <w:pPr>
        <w:spacing w:beforeLines="0" w:afterLines="0"/>
        <w:jc w:val="left"/>
        <w:rPr>
          <w:rFonts w:hint="default" w:ascii="Times New Roman CYR" w:hAnsi="Times New Roman CYR" w:eastAsia="Times New Roman CYR"/>
          <w:sz w:val="24"/>
          <w:szCs w:val="24"/>
        </w:rPr>
      </w:pPr>
    </w:p>
    <w:p w14:paraId="02D244D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8. Інформація щодо осіб, які прямо або опосередковано є власниками значного пакета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750"/>
        <w:gridCol w:w="1750"/>
        <w:gridCol w:w="1750"/>
        <w:gridCol w:w="1750"/>
      </w:tblGrid>
      <w:tr w14:paraId="054D06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B07C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або повне найменування акціонера</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B05B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64CF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51A2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значного пакета акцій</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344D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пакета акцій, що знаходиться в прямому та (опосередкованому) володінні</w:t>
            </w:r>
          </w:p>
        </w:tc>
      </w:tr>
      <w:tr w14:paraId="63D8DF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0036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79A0DF">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2106B4">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38CC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B037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r>
    </w:tbl>
    <w:p w14:paraId="2659618D">
      <w:pPr>
        <w:spacing w:beforeLines="0" w:afterLines="0"/>
        <w:jc w:val="left"/>
        <w:rPr>
          <w:rFonts w:hint="default" w:ascii="Times New Roman CYR" w:hAnsi="Times New Roman CYR" w:eastAsia="Times New Roman CYR"/>
          <w:sz w:val="22"/>
          <w:szCs w:val="24"/>
        </w:rPr>
      </w:pPr>
    </w:p>
    <w:p w14:paraId="247574B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5. Перелік посилань на внутрішні документи особи, що розміщені на вебсайті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200"/>
        <w:gridCol w:w="3200"/>
        <w:gridCol w:w="3100"/>
      </w:tblGrid>
      <w:tr w14:paraId="411543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CA06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0023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внутрішнього документа</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247A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питань, які регулюються внутрішнім документом</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3E17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URL-адреса вебсайту особи, за якою розміщено внутрішній документ</w:t>
            </w:r>
          </w:p>
        </w:tc>
      </w:tr>
      <w:tr w14:paraId="093E6C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4B6F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541B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82BF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2F48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525F0D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9BCB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0B84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E565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ЗАГАЛЬНI ПОЛОЖЕННЯ</w:t>
            </w:r>
          </w:p>
          <w:p w14:paraId="06264A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ЮРИДИЧНИЙ СТАТУС ТА ПРАВОЗДАТНIСТЬ ТОВАРИСТВА</w:t>
            </w:r>
          </w:p>
          <w:p w14:paraId="1962E9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МЕТА ТА ПРЕДМЕТ ДIЯЛЬНОСТI</w:t>
            </w:r>
          </w:p>
          <w:p w14:paraId="2F6FE5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АКЦIОНЕРИ ТОВАРИСТВА</w:t>
            </w:r>
          </w:p>
          <w:p w14:paraId="163B64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СТАТУТНИЙ КАПIТАЛ ТА АКЦIЇ ТОВАРИСТВА</w:t>
            </w:r>
          </w:p>
          <w:p w14:paraId="7426A5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 ДИВIДЕНДИ</w:t>
            </w:r>
          </w:p>
          <w:p w14:paraId="706086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МАЙНО ТА ФОНДИ ТОВАРИСТВА</w:t>
            </w:r>
          </w:p>
          <w:p w14:paraId="1DBF8C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ОРГАНИ УПРАВЛIННЯ</w:t>
            </w:r>
          </w:p>
          <w:p w14:paraId="7CA001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ЗАГАЛЬНI ЗБОРИ АКЦIОНЕРIВ</w:t>
            </w:r>
          </w:p>
          <w:p w14:paraId="770B69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 НАГЛЯДОВА РАДА ТОВАРИСТВА</w:t>
            </w:r>
          </w:p>
          <w:p w14:paraId="720C0A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 ДИРЕКТОР ТОВАРИСТВА</w:t>
            </w:r>
          </w:p>
          <w:p w14:paraId="67A745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 РЕВIЗIЙНА КОМIСIЯ ТОВАРИСТВА</w:t>
            </w:r>
          </w:p>
          <w:p w14:paraId="41F68B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 ГОСПОДАРСЬКА ТА ФIНАНСОВО-ЕКОНОМIЧНА ДIЯЛЬНIСТЬ ТОВАРИСТВА</w:t>
            </w:r>
          </w:p>
          <w:p w14:paraId="5911D1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 ЗОВНIШНЬОЕКОНОМIЧНА ДIЯЛЬНIСТЬ</w:t>
            </w:r>
          </w:p>
          <w:p w14:paraId="6339E7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 ОБЛIК, ЗВIТНIСТЬ, АУДИТ</w:t>
            </w:r>
          </w:p>
          <w:p w14:paraId="76BA03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 КАДРИ I ОПЛАТА ПРАЦI</w:t>
            </w:r>
          </w:p>
          <w:p w14:paraId="04D4CD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 ПОРЯДОК ВНЕСЕННЯ ЗМIН ДО СТАТУТУ</w:t>
            </w:r>
          </w:p>
          <w:p w14:paraId="0F1246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 ПРИПИНЕННЯ ДIЯЛЬНОСТI I ЛIКВIДАЦIЯ ТОВАРИСТВА</w:t>
            </w:r>
          </w:p>
          <w:p w14:paraId="503CDEEB">
            <w:pPr>
              <w:spacing w:beforeLines="0" w:afterLines="0"/>
              <w:jc w:val="center"/>
              <w:rPr>
                <w:rFonts w:hint="default" w:ascii="Times New Roman CYR" w:hAnsi="Times New Roman CYR" w:eastAsia="Times New Roman CYR"/>
                <w:sz w:val="22"/>
                <w:szCs w:val="24"/>
              </w:rPr>
            </w:pP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302D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http://spmk523.emitents.net.ua/ua/docs/?fg_id=102</w:t>
            </w:r>
          </w:p>
        </w:tc>
      </w:tr>
    </w:tbl>
    <w:p w14:paraId="0AC788A9">
      <w:pPr>
        <w:spacing w:beforeLines="0" w:afterLines="0"/>
        <w:jc w:val="left"/>
        <w:rPr>
          <w:rFonts w:hint="default" w:ascii="Times New Roman CYR" w:hAnsi="Times New Roman CYR" w:eastAsia="Times New Roman CYR"/>
          <w:sz w:val="22"/>
          <w:szCs w:val="24"/>
        </w:rPr>
      </w:pPr>
    </w:p>
    <w:p w14:paraId="53B4BA94">
      <w:pPr>
        <w:spacing w:beforeLines="0" w:afterLines="0"/>
        <w:jc w:val="left"/>
        <w:rPr>
          <w:rFonts w:hint="default" w:ascii="Times New Roman CYR" w:hAnsi="Times New Roman CYR" w:eastAsia="Times New Roman CYR"/>
          <w:sz w:val="24"/>
          <w:szCs w:val="24"/>
        </w:rPr>
      </w:pPr>
    </w:p>
    <w:p w14:paraId="68398CAD">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Фінансова звітність</w:t>
      </w:r>
    </w:p>
    <w:p w14:paraId="2AF98544">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мікропідприємництва</w:t>
      </w: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90"/>
        <w:gridCol w:w="1990"/>
        <w:gridCol w:w="1360"/>
      </w:tblGrid>
      <w:tr w14:paraId="796D5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640" w:type="dxa"/>
          <w:trHeight w:val="298" w:hRule="atLeast"/>
        </w:trPr>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413E82">
            <w:pPr>
              <w:spacing w:beforeLines="0" w:afterLines="0"/>
              <w:jc w:val="center"/>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КОДИ</w:t>
            </w:r>
          </w:p>
        </w:tc>
      </w:tr>
      <w:tr w14:paraId="5ADC4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50" w:type="dxa"/>
          <w:trHeight w:val="298" w:hRule="atLeast"/>
        </w:trPr>
        <w:tc>
          <w:tcPr>
            <w:tcW w:w="1990" w:type="dxa"/>
            <w:tcBorders>
              <w:top w:val="nil"/>
              <w:left w:val="nil"/>
              <w:bottom w:val="nil"/>
              <w:right w:val="single" w:color="auto" w:sz="6" w:space="0"/>
              <w:tl2br w:val="nil"/>
              <w:tr2bl w:val="nil"/>
            </w:tcBorders>
            <w:noWrap w:val="0"/>
            <w:vAlign w:val="center"/>
          </w:tcPr>
          <w:p w14:paraId="6BCDC731">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 (рік, місяць, число)</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5CB0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2021.01.01</w:t>
            </w:r>
          </w:p>
        </w:tc>
      </w:tr>
      <w:tr w14:paraId="7E372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4A65E244">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90" w:type="dxa"/>
            <w:vMerge w:val="restart"/>
            <w:tcBorders>
              <w:top w:val="nil"/>
              <w:left w:val="nil"/>
              <w:bottom w:val="nil"/>
              <w:right w:val="nil"/>
              <w:tl2br w:val="nil"/>
              <w:tr2bl w:val="nil"/>
            </w:tcBorders>
            <w:noWrap w:val="0"/>
            <w:vAlign w:val="center"/>
          </w:tcPr>
          <w:p w14:paraId="6BDEDCD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"СПМК-523"</w:t>
            </w:r>
          </w:p>
        </w:tc>
        <w:tc>
          <w:tcPr>
            <w:tcW w:w="1990" w:type="dxa"/>
            <w:tcBorders>
              <w:top w:val="nil"/>
              <w:left w:val="nil"/>
              <w:bottom w:val="nil"/>
              <w:right w:val="single" w:color="auto" w:sz="6" w:space="0"/>
              <w:tl2br w:val="nil"/>
              <w:tr2bl w:val="nil"/>
            </w:tcBorders>
            <w:noWrap w:val="0"/>
            <w:vAlign w:val="center"/>
          </w:tcPr>
          <w:p w14:paraId="5E1A7EFF">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C0ED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01354473</w:t>
            </w:r>
          </w:p>
        </w:tc>
      </w:tr>
      <w:tr w14:paraId="1B5DB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2A3E1D6F">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Територія</w:t>
            </w:r>
          </w:p>
        </w:tc>
        <w:tc>
          <w:tcPr>
            <w:tcW w:w="4490" w:type="dxa"/>
            <w:vMerge w:val="restart"/>
            <w:tcBorders>
              <w:top w:val="nil"/>
              <w:left w:val="nil"/>
              <w:bottom w:val="nil"/>
              <w:right w:val="nil"/>
              <w:tl2br w:val="nil"/>
              <w:tr2bl w:val="nil"/>
            </w:tcBorders>
            <w:noWrap w:val="0"/>
            <w:vAlign w:val="center"/>
          </w:tcPr>
          <w:p w14:paraId="7189EA1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w:t>
            </w:r>
          </w:p>
        </w:tc>
        <w:tc>
          <w:tcPr>
            <w:tcW w:w="1990" w:type="dxa"/>
            <w:tcBorders>
              <w:top w:val="nil"/>
              <w:left w:val="nil"/>
              <w:bottom w:val="nil"/>
              <w:right w:val="single" w:color="auto" w:sz="6" w:space="0"/>
              <w:tl2br w:val="nil"/>
              <w:tr2bl w:val="nil"/>
            </w:tcBorders>
            <w:noWrap w:val="0"/>
            <w:vAlign w:val="center"/>
          </w:tcPr>
          <w:p w14:paraId="5C3347C1">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КАТОТТГ</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E293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8038500000</w:t>
            </w:r>
          </w:p>
        </w:tc>
      </w:tr>
      <w:tr w14:paraId="45C4D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09EAF8EA">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Організаційно-правова форма господарювання</w:t>
            </w:r>
          </w:p>
        </w:tc>
        <w:tc>
          <w:tcPr>
            <w:tcW w:w="4490" w:type="dxa"/>
            <w:vMerge w:val="restart"/>
            <w:tcBorders>
              <w:top w:val="nil"/>
              <w:left w:val="nil"/>
              <w:bottom w:val="nil"/>
              <w:right w:val="nil"/>
              <w:tl2br w:val="nil"/>
              <w:tr2bl w:val="nil"/>
            </w:tcBorders>
            <w:noWrap w:val="0"/>
            <w:vAlign w:val="center"/>
          </w:tcPr>
          <w:p w14:paraId="1875098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c>
          <w:tcPr>
            <w:tcW w:w="1990" w:type="dxa"/>
            <w:tcBorders>
              <w:top w:val="nil"/>
              <w:left w:val="nil"/>
              <w:bottom w:val="nil"/>
              <w:right w:val="single" w:color="auto" w:sz="6" w:space="0"/>
              <w:tl2br w:val="nil"/>
              <w:tr2bl w:val="nil"/>
            </w:tcBorders>
            <w:noWrap w:val="0"/>
            <w:vAlign w:val="center"/>
          </w:tcPr>
          <w:p w14:paraId="4F478E1F">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КОПФГ</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24B7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w:t>
            </w:r>
          </w:p>
        </w:tc>
      </w:tr>
      <w:tr w14:paraId="72716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6923E87D">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Вид економічної діяльності</w:t>
            </w:r>
          </w:p>
        </w:tc>
        <w:tc>
          <w:tcPr>
            <w:tcW w:w="4490" w:type="dxa"/>
            <w:tcBorders>
              <w:top w:val="nil"/>
              <w:left w:val="nil"/>
              <w:bottom w:val="nil"/>
              <w:right w:val="nil"/>
              <w:tl2br w:val="nil"/>
              <w:tr2bl w:val="nil"/>
            </w:tcBorders>
            <w:noWrap w:val="0"/>
            <w:vAlign w:val="center"/>
          </w:tcPr>
          <w:p w14:paraId="2251F9D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Надання в оренду й експлуатацію  власного чи орендованого нерухомого майна</w:t>
            </w:r>
          </w:p>
        </w:tc>
        <w:tc>
          <w:tcPr>
            <w:tcW w:w="1990" w:type="dxa"/>
            <w:tcBorders>
              <w:top w:val="nil"/>
              <w:left w:val="nil"/>
              <w:bottom w:val="nil"/>
              <w:right w:val="single" w:color="auto" w:sz="6" w:space="0"/>
              <w:tl2br w:val="nil"/>
              <w:tr2bl w:val="nil"/>
            </w:tcBorders>
            <w:noWrap w:val="0"/>
            <w:vAlign w:val="center"/>
          </w:tcPr>
          <w:p w14:paraId="6DCE54D3">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КВЕД</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435D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68.20</w:t>
            </w:r>
          </w:p>
        </w:tc>
      </w:tr>
    </w:tbl>
    <w:p w14:paraId="406AFFF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Середня кількість працівників, осіб: </w:t>
      </w:r>
      <w:r>
        <w:rPr>
          <w:rFonts w:hint="default" w:ascii="Times New Roman CYR" w:hAnsi="Times New Roman CYR" w:eastAsia="Times New Roman CYR"/>
          <w:sz w:val="22"/>
          <w:szCs w:val="24"/>
        </w:rPr>
        <w:t>1</w:t>
      </w:r>
    </w:p>
    <w:p w14:paraId="761A951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Одиниця виміру: </w:t>
      </w:r>
      <w:r>
        <w:rPr>
          <w:rFonts w:hint="default" w:ascii="Times New Roman CYR" w:hAnsi="Times New Roman CYR" w:eastAsia="Times New Roman CYR"/>
          <w:sz w:val="22"/>
          <w:szCs w:val="24"/>
        </w:rPr>
        <w:t>тис.грн. з одним десятковим знаком</w:t>
      </w:r>
    </w:p>
    <w:p w14:paraId="56583E5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Адреса, телефон: </w:t>
      </w:r>
      <w:r>
        <w:rPr>
          <w:rFonts w:hint="default" w:ascii="Times New Roman CYR" w:hAnsi="Times New Roman CYR" w:eastAsia="Times New Roman CYR"/>
          <w:sz w:val="22"/>
          <w:szCs w:val="24"/>
        </w:rPr>
        <w:t>04136, м.Київ, ПОДIЛЬСЬКИЙ р-н р-н, м.Київ, ВУЛ. МАРШАЛА ГРЕЧКА, 9Г, 0444436997</w:t>
      </w:r>
    </w:p>
    <w:p w14:paraId="75CA385F">
      <w:pPr>
        <w:spacing w:beforeLines="0" w:afterLines="0"/>
        <w:jc w:val="left"/>
        <w:rPr>
          <w:rFonts w:hint="default" w:ascii="Times New Roman CYR" w:hAnsi="Times New Roman CYR" w:eastAsia="Times New Roman CYR"/>
          <w:sz w:val="24"/>
          <w:szCs w:val="24"/>
        </w:rPr>
      </w:pPr>
    </w:p>
    <w:p w14:paraId="741EF73F">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1. Баланс</w:t>
      </w:r>
    </w:p>
    <w:p w14:paraId="56DD4E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31.12.2020 p.</w:t>
      </w:r>
    </w:p>
    <w:p w14:paraId="614E95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№1-мс</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35E937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0A98AE55">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E83D5B">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1801006</w:t>
            </w:r>
          </w:p>
        </w:tc>
      </w:tr>
      <w:tr w14:paraId="057C5D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EC0F7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Актив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CA66B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62819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року</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F40B1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7288531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D0D1A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06624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62ACA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7652C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5C2E2A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09A87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CE18DE">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A4FE27">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9AD19E">
            <w:pPr>
              <w:spacing w:beforeLines="0" w:afterLines="0"/>
              <w:jc w:val="left"/>
              <w:rPr>
                <w:rFonts w:hint="default" w:ascii="Times New Roman CYR" w:hAnsi="Times New Roman CYR" w:eastAsia="Times New Roman CYR"/>
                <w:sz w:val="22"/>
                <w:szCs w:val="24"/>
              </w:rPr>
            </w:pPr>
          </w:p>
        </w:tc>
      </w:tr>
      <w:tr w14:paraId="639252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05DC8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564E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7ADE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FBED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D5D790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BAA6A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EAF4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8ED9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2451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r>
      <w:tr w14:paraId="270C63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7F3F3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знос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B29B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1AF8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08F8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r>
      <w:tr w14:paraId="12689DA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231B3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22B0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678B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E917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9DF7E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31322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1A28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F238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EA4A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EAFE5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1D554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5FC676">
            <w:pPr>
              <w:spacing w:beforeLines="0" w:afterLines="0"/>
              <w:jc w:val="center"/>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15923C">
            <w:pPr>
              <w:spacing w:beforeLines="0" w:afterLines="0"/>
              <w:jc w:val="center"/>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B177B5">
            <w:pPr>
              <w:spacing w:beforeLines="0" w:afterLines="0"/>
              <w:jc w:val="center"/>
              <w:rPr>
                <w:rFonts w:hint="default" w:ascii="Times New Roman CYR" w:hAnsi="Times New Roman CYR" w:eastAsia="Times New Roman CYR"/>
                <w:sz w:val="22"/>
                <w:szCs w:val="24"/>
              </w:rPr>
            </w:pPr>
          </w:p>
        </w:tc>
      </w:tr>
      <w:tr w14:paraId="037BA0B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468CA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Запаси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2E97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F9D0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7A88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18AE46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7E3BA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дебіторська заборгованість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C2D3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0C96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5E29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w:t>
            </w:r>
          </w:p>
        </w:tc>
      </w:tr>
      <w:tr w14:paraId="24F2C6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F3017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Гроші та їх еквіваленти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09F2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E6C6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65A7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0,7</w:t>
            </w:r>
          </w:p>
        </w:tc>
      </w:tr>
      <w:tr w14:paraId="467DD6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9D700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9BA1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58B4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FE90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376F4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760A3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331E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AC66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181DA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r>
      <w:tr w14:paraId="30F71AA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3031F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6B51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5A96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53B2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r>
    </w:tbl>
    <w:p w14:paraId="79C80A0C">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209A3A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15C4F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Пасив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1EE90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09D46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року</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F0A92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0940B4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0F184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41997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9E821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3535E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2EA66A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ABFB1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Власний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F79382">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46CBEC">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9809C0">
            <w:pPr>
              <w:spacing w:beforeLines="0" w:afterLines="0"/>
              <w:jc w:val="center"/>
              <w:rPr>
                <w:rFonts w:hint="default" w:ascii="Times New Roman CYR" w:hAnsi="Times New Roman CYR" w:eastAsia="Times New Roman CYR"/>
                <w:sz w:val="22"/>
                <w:szCs w:val="24"/>
              </w:rPr>
            </w:pPr>
          </w:p>
        </w:tc>
      </w:tr>
      <w:tr w14:paraId="7F96E96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819E2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269B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FC03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981B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7D4DB5D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ECC82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Нерозподілений прибуток (непокритий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C3BE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7FC9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-400,5</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426D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-400,5</w:t>
            </w:r>
          </w:p>
        </w:tc>
      </w:tr>
      <w:tr w14:paraId="3A7890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44170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Неоплачений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14B1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24F9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2F70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8FA13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F7214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F8C6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D37B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-357,6</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F477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-357,6</w:t>
            </w:r>
          </w:p>
        </w:tc>
      </w:tr>
      <w:tr w14:paraId="0CCEB4A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C5955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Довгострокові зобов`язання, цільове фінансування та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C355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3F49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6B48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EC2AB3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92451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III.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18D4A8">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85676D">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097C58">
            <w:pPr>
              <w:spacing w:beforeLines="0" w:afterLines="0"/>
              <w:jc w:val="center"/>
              <w:rPr>
                <w:rFonts w:hint="default" w:ascii="Times New Roman CYR" w:hAnsi="Times New Roman CYR" w:eastAsia="Times New Roman CYR"/>
                <w:sz w:val="22"/>
                <w:szCs w:val="24"/>
              </w:rPr>
            </w:pPr>
          </w:p>
        </w:tc>
      </w:tr>
      <w:tr w14:paraId="3DB0703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788EE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Короткострокові кредити банків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5C44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26B7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ED90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C3581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0B988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кредиторська заборгованість за: за товари, роботи, послуги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A601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ED81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27,3</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7588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27,3</w:t>
            </w:r>
          </w:p>
        </w:tc>
      </w:tr>
      <w:tr w14:paraId="24965FE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76E3C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бюджетом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70D2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F075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492</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B8D1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492</w:t>
            </w:r>
          </w:p>
        </w:tc>
      </w:tr>
      <w:tr w14:paraId="64DD9C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E5AC8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зі 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D546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2952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3B4D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F187AF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D7797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оплати 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919C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7F3D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B526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CD36E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BC8D5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A7C6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A6BC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4A8B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B4E84F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4EEBF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III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5CFC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1AB3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519,3</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B5A3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519,3</w:t>
            </w:r>
          </w:p>
        </w:tc>
      </w:tr>
      <w:tr w14:paraId="25B2C0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3D8B5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2169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215E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6B82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r>
    </w:tbl>
    <w:p w14:paraId="4C8A441B">
      <w:pPr>
        <w:spacing w:beforeLines="0" w:afterLines="0"/>
        <w:jc w:val="left"/>
        <w:rPr>
          <w:rFonts w:hint="default" w:ascii="Times New Roman CYR" w:hAnsi="Times New Roman CYR" w:eastAsia="Times New Roman CYR"/>
          <w:sz w:val="22"/>
          <w:szCs w:val="24"/>
        </w:rPr>
      </w:pPr>
    </w:p>
    <w:p w14:paraId="417DC9E7">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7161C385">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2. Звіт про фінансові результати</w:t>
      </w:r>
    </w:p>
    <w:p w14:paraId="33519A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2020 рік</w:t>
      </w:r>
    </w:p>
    <w:p w14:paraId="7D3440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№2-мc</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036ACF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57B36D8A">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788777">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1801007</w:t>
            </w:r>
          </w:p>
        </w:tc>
      </w:tr>
      <w:tr w14:paraId="37234B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06B58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B2BB0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F0DAC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FFB08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4D9B1E0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465A8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A4061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0656B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47AC7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366BC4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18654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Чистий дохід від реалізації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CE95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2E21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293D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95CE6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34850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C31B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5B4A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2056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07781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D445B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доходи </w:t>
            </w:r>
            <w:r>
              <w:rPr>
                <w:rFonts w:hint="default" w:ascii="Times New Roman CYR" w:hAnsi="Times New Roman CYR" w:eastAsia="Times New Roman CYR"/>
                <w:sz w:val="22"/>
                <w:szCs w:val="24"/>
              </w:rPr>
              <w:t>(2000 + 2160)</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9F26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6A77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7B04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C98949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DF4A5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Собівартість реалізованої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2BF9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1987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DAEE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2B216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44894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1465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8027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D0D0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(129,8)</w:t>
            </w:r>
          </w:p>
        </w:tc>
      </w:tr>
      <w:tr w14:paraId="09C0FE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5522D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витрати </w:t>
            </w:r>
            <w:r>
              <w:rPr>
                <w:rFonts w:hint="default" w:ascii="Times New Roman CYR" w:hAnsi="Times New Roman CYR" w:eastAsia="Times New Roman CYR"/>
                <w:sz w:val="22"/>
                <w:szCs w:val="24"/>
              </w:rPr>
              <w:t>(2050 + 2165)</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EF6D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2285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CCF8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208B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(129,8)</w:t>
            </w:r>
          </w:p>
        </w:tc>
      </w:tr>
      <w:tr w14:paraId="54F7AF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3D42F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Фінансовий результат до оподаткування (2280 - 2285)</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F825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70F1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42C1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-129,8</w:t>
            </w:r>
          </w:p>
        </w:tc>
      </w:tr>
      <w:tr w14:paraId="4268CFD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A2F50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Податок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CA78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B1E1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C9B2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E7F87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F677D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Витрати (доходи), які зменшують (збільшують) фінансовий результат після оподаткування </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1B82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3DA3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2FFF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03322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BF034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Чистий прибуток (збиток) </w:t>
            </w:r>
            <w:r>
              <w:rPr>
                <w:rFonts w:hint="default" w:ascii="Times New Roman CYR" w:hAnsi="Times New Roman CYR" w:eastAsia="Times New Roman CYR"/>
                <w:sz w:val="22"/>
                <w:szCs w:val="24"/>
              </w:rPr>
              <w:t>(2290 - 2300 - (+) 2310)</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835C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F6B5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77AE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-129,8</w:t>
            </w:r>
          </w:p>
        </w:tc>
      </w:tr>
    </w:tbl>
    <w:p w14:paraId="63E39C0E">
      <w:pPr>
        <w:spacing w:beforeLines="0" w:afterLines="0"/>
        <w:jc w:val="left"/>
        <w:rPr>
          <w:rFonts w:hint="default" w:ascii="Times New Roman CYR" w:hAnsi="Times New Roman CYR" w:eastAsia="Times New Roman CYR"/>
          <w:sz w:val="22"/>
          <w:szCs w:val="24"/>
        </w:rPr>
      </w:pPr>
    </w:p>
    <w:p w14:paraId="7DB6AC2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Наумчук Вiктор Михайлович</w:t>
      </w:r>
    </w:p>
    <w:p w14:paraId="4FE51FC4">
      <w:pPr>
        <w:spacing w:beforeLines="0" w:afterLines="0"/>
        <w:jc w:val="left"/>
        <w:rPr>
          <w:rFonts w:hint="default" w:ascii="Times New Roman CYR" w:hAnsi="Times New Roman CYR" w:eastAsia="Times New Roman CYR"/>
          <w:sz w:val="22"/>
          <w:szCs w:val="24"/>
        </w:rPr>
      </w:pPr>
    </w:p>
    <w:p w14:paraId="0F91511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p>
    <w:p w14:paraId="14003AD5">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5D2F6031">
      <w:pPr>
        <w:spacing w:beforeLines="0" w:afterLines="0"/>
        <w:jc w:val="left"/>
        <w:rPr>
          <w:rFonts w:hint="default" w:ascii="Times New Roman CYR" w:hAnsi="Times New Roman CYR" w:eastAsia="Times New Roman CYR"/>
          <w:sz w:val="22"/>
          <w:szCs w:val="24"/>
        </w:rPr>
      </w:pPr>
    </w:p>
    <w:p w14:paraId="3540E175">
      <w:pPr>
        <w:spacing w:beforeLines="0" w:afterLines="0"/>
        <w:jc w:val="left"/>
        <w:rPr>
          <w:rFonts w:hint="default" w:ascii="Times New Roman CYR" w:hAnsi="Times New Roman CYR" w:eastAsia="Times New Roman CYR"/>
          <w:sz w:val="22"/>
          <w:szCs w:val="24"/>
        </w:rPr>
      </w:pPr>
    </w:p>
    <w:sectPr>
      <w:pgSz w:w="12240" w:h="15840"/>
      <w:pgMar w:top="570" w:right="720" w:bottom="570" w:left="72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imes New Roman CYR">
    <w:altName w:val="Times New Roman"/>
    <w:panose1 w:val="00000000000000000000"/>
    <w:charset w:val="CC"/>
    <w:family w:val="roman"/>
    <w:pitch w:val="default"/>
    <w:sig w:usb0="00000000" w:usb1="00000000" w:usb2="00000000" w:usb3="00000000" w:csb0="00000004"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B4B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TotalTime>0</TotalTime>
  <ScaleCrop>false</ScaleCrop>
  <LinksUpToDate>false</LinksUpToDate>
  <Application>WPS Office_12.2.0.23131_F1E327BC-269C-435d-A152-05C5408002CA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2026-04-07T14:31:47Z</dcterms:created>
  <dc:creator>Дмитро</dc:creator>
  <cp:lastModifiedBy>Дмитро</cp:lastModifiedBy>
  <dcterms:modified xsi:type="dcterms:W3CDTF">2026-04-07T14:33:20Z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0BF84C300DC746A298E73077455B195B_13</vt:lpwstr>
  </property>
</Properties>
</file>